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right="0" w:rightChars="0"/>
        <w:jc w:val="both"/>
        <w:textAlignment w:val="auto"/>
        <w:outlineLvl w:val="9"/>
        <w:rPr>
          <w:rFonts w:hint="eastAsia" w:ascii="方正小标宋简体" w:hAnsi="方正小标宋简体" w:eastAsia="方正小标宋简体" w:cs="方正小标宋简体"/>
          <w:kern w:val="2"/>
          <w:sz w:val="44"/>
          <w:szCs w:val="44"/>
          <w:highlight w:val="none"/>
          <w:lang w:val="en-US" w:eastAsia="zh-CN" w:bidi="ar-SA"/>
        </w:rPr>
      </w:pPr>
      <w:r>
        <w:rPr>
          <w:rFonts w:hint="eastAsia" w:ascii="方正小标宋简体" w:hAnsi="方正小标宋简体" w:eastAsia="方正小标宋简体" w:cs="方正小标宋简体"/>
          <w:kern w:val="2"/>
          <w:sz w:val="44"/>
          <w:szCs w:val="44"/>
          <w:highlight w:val="none"/>
          <w:lang w:val="en-US" w:eastAsia="zh-CN" w:bidi="ar-SA"/>
        </w:rPr>
        <w:t>赤峰市住房保障服务中心房源信息发布平台和存量房价格评估与发布系统运维项目采购文件</w:t>
      </w:r>
    </w:p>
    <w:p>
      <w:pPr>
        <w:keepNext w:val="0"/>
        <w:keepLines/>
        <w:pageBreakBefore w:val="0"/>
        <w:widowControl/>
        <w:shd w:val="clear" w:color="auto" w:fill="auto"/>
        <w:kinsoku/>
        <w:wordWrap/>
        <w:overflowPunct/>
        <w:topLinePunct w:val="0"/>
        <w:autoSpaceDE/>
        <w:autoSpaceDN/>
        <w:bidi w:val="0"/>
        <w:adjustRightInd/>
        <w:snapToGrid/>
        <w:spacing w:line="360" w:lineRule="auto"/>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p>
    <w:p>
      <w:pPr>
        <w:keepNext w:val="0"/>
        <w:keepLines/>
        <w:pageBreakBefore w:val="0"/>
        <w:widowControl/>
        <w:numPr>
          <w:ilvl w:val="0"/>
          <w:numId w:val="1"/>
        </w:numPr>
        <w:shd w:val="clear" w:color="auto" w:fill="auto"/>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bCs/>
          <w:color w:val="auto"/>
          <w:sz w:val="32"/>
          <w:szCs w:val="32"/>
          <w:highlight w:val="none"/>
        </w:rPr>
        <w:t>项目名称：</w:t>
      </w:r>
      <w:r>
        <w:rPr>
          <w:rFonts w:hint="eastAsia" w:ascii="仿宋_GB2312" w:hAnsi="仿宋_GB2312" w:eastAsia="仿宋_GB2312" w:cs="仿宋_GB2312"/>
          <w:b w:val="0"/>
          <w:bCs w:val="0"/>
          <w:color w:val="auto"/>
          <w:sz w:val="32"/>
          <w:szCs w:val="32"/>
          <w:highlight w:val="none"/>
          <w:lang w:val="en-US" w:eastAsia="zh-CN"/>
        </w:rPr>
        <w:t>赤峰市住房保障服务中心房源信息发布平台和存量房价格评估与发布系统运维项目</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left="0" w:leftChars="0" w:right="0" w:firstLine="643"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服务地点</w:t>
      </w:r>
      <w:r>
        <w:rPr>
          <w:rFonts w:hint="eastAsia" w:ascii="仿宋_GB2312" w:hAnsi="仿宋_GB2312" w:eastAsia="仿宋_GB2312" w:cs="仿宋_GB2312"/>
          <w:b w:val="0"/>
          <w:bCs w:val="0"/>
          <w:color w:val="auto"/>
          <w:sz w:val="32"/>
          <w:szCs w:val="32"/>
          <w:highlight w:val="none"/>
        </w:rPr>
        <w:t>：赤峰市</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服务项目概况：</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赤峰市住房保障服务中心房源信息发布平台和存量房价格评估与发布系统运维项目，本项目的目标为创建赤峰市房源信息发布平台和存量房价格评估与发布系统,实现赤峰市各个业务系统中现有数据的清洗更新融合（含因业务需求的各类数据接口开发），以及新增数据的同步更新，并在此数据基础上，保障存量房价格评估与发布系统和房源信息发布平台两个系统稳定运行。实现全市的房地产市场的监测、分析电子化，通过PC、APP、微信公众号等多种终端产品，更多的向社会公众展现房源信息，体现新建商品房销售的公平公正公开。</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其中，存量房价格评估与发布系统在本期的主要建设内容包括:数据融合更新、智能监测系统、土地市场统计分析、新建商品房监测等系统的稳定运行和更新;房源信息发布平台在本期主要建设内容包括:房源管理后台系统、房源发布PC端网站、微信公众号、APP等产品的稳定运行和更新;</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left="0" w:leftChars="0" w:right="0" w:firstLine="643"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四、服务费控制价：</w:t>
      </w:r>
      <w:r>
        <w:rPr>
          <w:rFonts w:hint="eastAsia" w:ascii="仿宋_GB2312" w:hAnsi="仿宋_GB2312" w:eastAsia="仿宋_GB2312" w:cs="仿宋_GB2312"/>
          <w:color w:val="auto"/>
          <w:sz w:val="32"/>
          <w:szCs w:val="32"/>
          <w:highlight w:val="none"/>
          <w:lang w:val="en-US" w:eastAsia="zh-CN"/>
        </w:rPr>
        <w:t>500000元</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lang w:val="en-US" w:eastAsia="zh-CN"/>
        </w:rPr>
        <w:t>五、服务内容：</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该项目硬件资源已经托管到政务云，硬件相关维护由政务云统一维护，运维单位需配合政务云进行资源调整，本项目运维服务内容如下:</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产品软件</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1.数据库需要定期更新官方漏洞</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2.服务器操作系统软件，开源免费软件，需定定期及时更新漏洞。</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软件系统</w:t>
      </w:r>
      <w:r>
        <w:rPr>
          <w:rFonts w:hint="eastAsia" w:ascii="仿宋_GB2312" w:hAnsi="仿宋_GB2312" w:eastAsia="仿宋_GB2312" w:cs="仿宋_GB2312"/>
          <w:b/>
          <w:bCs/>
          <w:sz w:val="32"/>
          <w:szCs w:val="32"/>
          <w:lang w:val="en-US" w:eastAsia="zh-CN"/>
        </w:rPr>
        <w:t>运维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1.系统日常运维服务，包括当不限于系统操作指导、因系统缺陷导致的各种BUG的修复、因操作失误导致的数据错误维护等；</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2.系统突发事件的诊断、排除；</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3.因甲方业务发展需要，运维期内对于系统小的优化或新增需求(2人月)提供免费服务；</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4.定期指派专人清理运维过程中所生成的生产数据库中的临时表，优化数据库，持续做好核心库数据治理，确保数据完善、准确，如建立并优化索引、优化存储过程数据库表拆分等，提供系统运行速度；</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5.负责房产各类业务信息平台数据交互，保障房地产核心数据库运行；</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6.对中心城区房地产市场进行1-2次调研评估，更新存量房价格评估相关指标，保证存量房评估价格合理性。</w:t>
      </w:r>
    </w:p>
    <w:p>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（三）安全运维</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1.实时监控‌：通过政务云对对网络流量、服务器性能、应用行为进行7×24小时监测，对异常访问、入侵等事宜应急处理，保障系统运行和数据安全；</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2.定期扫描‌：配合政务云对系统漏洞（如未修复补丁、配置缺陷）进行修复，降低攻击面；</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3.应急处理‌：针对入侵、勒索软件等事件，快速隔离受影响系统，溯源攻击路径，清除恶意代码；</w:t>
      </w:r>
    </w:p>
    <w:p>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rPr>
        <w:t>4.数据安全：制定自动化备份计划（全量/增量），验证备份可用性，保障核心数据完整性。</w:t>
      </w:r>
    </w:p>
    <w:p>
      <w:pPr>
        <w:keepNext w:val="0"/>
        <w:keepLines/>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服务期：18个月</w:t>
      </w:r>
    </w:p>
    <w:p>
      <w:pPr>
        <w:keepNext w:val="0"/>
        <w:keepLines/>
        <w:pageBreakBefore w:val="0"/>
        <w:widowControl/>
        <w:numPr>
          <w:ilvl w:val="0"/>
          <w:numId w:val="2"/>
        </w:numPr>
        <w:shd w:val="clear" w:color="auto" w:fill="auto"/>
        <w:kinsoku/>
        <w:wordWrap/>
        <w:overflowPunct/>
        <w:topLinePunct w:val="0"/>
        <w:autoSpaceDE/>
        <w:autoSpaceDN/>
        <w:bidi w:val="0"/>
        <w:adjustRightInd w:val="0"/>
        <w:snapToGrid w:val="0"/>
        <w:spacing w:line="360" w:lineRule="auto"/>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资格要求：</w:t>
      </w:r>
    </w:p>
    <w:p>
      <w:pPr>
        <w:keepNext w:val="0"/>
        <w:keepLines/>
        <w:pageBreakBefore w:val="0"/>
        <w:widowControl/>
        <w:shd w:val="clear" w:color="auto" w:fill="auto"/>
        <w:kinsoku/>
        <w:wordWrap/>
        <w:overflowPunct/>
        <w:topLinePunct w:val="0"/>
        <w:autoSpaceDE/>
        <w:autoSpaceDN/>
        <w:bidi w:val="0"/>
        <w:adjustRightInd/>
        <w:snapToGrid/>
        <w:spacing w:line="360" w:lineRule="auto"/>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本次采购要求：本项目要求投标人具备独立法人资格，具备承担本项目</w:t>
      </w:r>
      <w:r>
        <w:rPr>
          <w:rFonts w:hint="eastAsia" w:ascii="仿宋_GB2312" w:hAnsi="仿宋_GB2312" w:eastAsia="仿宋_GB2312" w:cs="仿宋_GB2312"/>
          <w:color w:val="auto"/>
          <w:sz w:val="32"/>
          <w:szCs w:val="32"/>
          <w:lang w:val="en-US" w:eastAsia="zh-CN"/>
        </w:rPr>
        <w:t>产品及技术服务</w:t>
      </w:r>
      <w:r>
        <w:rPr>
          <w:rFonts w:hint="eastAsia" w:ascii="仿宋_GB2312" w:hAnsi="仿宋_GB2312" w:eastAsia="仿宋_GB2312" w:cs="仿宋_GB2312"/>
          <w:color w:val="auto"/>
          <w:sz w:val="32"/>
          <w:szCs w:val="32"/>
        </w:rPr>
        <w:t>能力。</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40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八、评审办法和标准：</w:t>
      </w:r>
    </w:p>
    <w:tbl>
      <w:tblPr>
        <w:tblStyle w:val="9"/>
        <w:tblW w:w="8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7"/>
        <w:gridCol w:w="6467"/>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评分</w:t>
            </w:r>
          </w:p>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项目</w:t>
            </w: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评分标准</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restart"/>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公司资质</w:t>
            </w:r>
          </w:p>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rPr>
            </w:pPr>
            <w:r>
              <w:rPr>
                <w:rFonts w:hint="eastAsia" w:ascii="仿宋_GB2312" w:hAnsi="仿宋_GB2312" w:eastAsia="仿宋_GB2312" w:cs="仿宋_GB2312"/>
                <w:sz w:val="32"/>
                <w:szCs w:val="32"/>
                <w:vertAlign w:val="baseline"/>
                <w:lang w:val="en-US" w:eastAsia="zh-CN"/>
              </w:rPr>
              <w:t>（40分）</w:t>
            </w: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val="0"/>
                <w:bCs w:val="0"/>
                <w:sz w:val="32"/>
                <w:szCs w:val="32"/>
              </w:rPr>
              <w:t>供应商</w:t>
            </w:r>
            <w:r>
              <w:rPr>
                <w:rFonts w:hint="eastAsia" w:ascii="仿宋_GB2312" w:hAnsi="仿宋_GB2312" w:eastAsia="仿宋_GB2312" w:cs="仿宋_GB2312"/>
                <w:b w:val="0"/>
                <w:bCs w:val="0"/>
                <w:sz w:val="32"/>
                <w:szCs w:val="32"/>
                <w:highlight w:val="none"/>
                <w:lang w:val="en-US" w:eastAsia="zh-CN"/>
              </w:rPr>
              <w:t>通过</w:t>
            </w:r>
            <w:r>
              <w:rPr>
                <w:rFonts w:hint="eastAsia" w:ascii="仿宋_GB2312" w:hAnsi="仿宋_GB2312" w:eastAsia="仿宋_GB2312" w:cs="仿宋_GB2312"/>
                <w:b w:val="0"/>
                <w:bCs w:val="0"/>
                <w:sz w:val="32"/>
                <w:szCs w:val="32"/>
                <w:highlight w:val="none"/>
              </w:rPr>
              <w:t>ISO9001质量管理体系认证</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rPr>
              <w:t>具有质量管理体系认证证书</w:t>
            </w:r>
            <w:r>
              <w:rPr>
                <w:rFonts w:hint="eastAsia" w:ascii="仿宋_GB2312" w:hAnsi="仿宋_GB2312" w:eastAsia="仿宋_GB2312" w:cs="仿宋_GB2312"/>
                <w:b w:val="0"/>
                <w:bCs w:val="0"/>
                <w:sz w:val="32"/>
                <w:szCs w:val="32"/>
                <w:lang w:val="en-US" w:eastAsia="zh-CN"/>
              </w:rPr>
              <w:t>的。</w:t>
            </w:r>
            <w:r>
              <w:rPr>
                <w:rFonts w:hint="eastAsia" w:ascii="仿宋_GB2312" w:hAnsi="仿宋_GB2312" w:eastAsia="仿宋_GB2312" w:cs="仿宋_GB2312"/>
                <w:b w:val="0"/>
                <w:bCs w:val="0"/>
                <w:sz w:val="32"/>
                <w:szCs w:val="32"/>
              </w:rPr>
              <w:t>（须提供有效证书复印件，</w:t>
            </w:r>
            <w:r>
              <w:rPr>
                <w:rFonts w:hint="eastAsia" w:ascii="仿宋_GB2312" w:hAnsi="仿宋_GB2312" w:eastAsia="仿宋_GB2312" w:cs="仿宋_GB2312"/>
                <w:b w:val="0"/>
                <w:bCs w:val="0"/>
                <w:color w:val="auto"/>
                <w:sz w:val="32"/>
                <w:szCs w:val="32"/>
              </w:rPr>
              <w:t>不提供或</w:t>
            </w:r>
            <w:r>
              <w:rPr>
                <w:rFonts w:hint="eastAsia" w:ascii="仿宋_GB2312" w:hAnsi="仿宋_GB2312" w:eastAsia="仿宋_GB2312" w:cs="仿宋_GB2312"/>
                <w:b w:val="0"/>
                <w:bCs w:val="0"/>
                <w:sz w:val="32"/>
                <w:szCs w:val="32"/>
              </w:rPr>
              <w:t>证书</w:t>
            </w:r>
            <w:r>
              <w:rPr>
                <w:rFonts w:hint="eastAsia" w:ascii="仿宋_GB2312" w:hAnsi="仿宋_GB2312" w:eastAsia="仿宋_GB2312" w:cs="仿宋_GB2312"/>
                <w:b w:val="0"/>
                <w:bCs w:val="0"/>
                <w:sz w:val="32"/>
                <w:szCs w:val="32"/>
                <w:lang w:val="en-US" w:eastAsia="zh-CN"/>
              </w:rPr>
              <w:t>不</w:t>
            </w:r>
            <w:r>
              <w:rPr>
                <w:rFonts w:hint="eastAsia" w:ascii="仿宋_GB2312" w:hAnsi="仿宋_GB2312" w:eastAsia="仿宋_GB2312" w:cs="仿宋_GB2312"/>
                <w:b w:val="0"/>
                <w:bCs w:val="0"/>
                <w:sz w:val="32"/>
                <w:szCs w:val="32"/>
              </w:rPr>
              <w:t>在有效期内的不得分）</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b w:val="0"/>
                <w:bCs w:val="0"/>
                <w:color w:val="auto"/>
                <w:sz w:val="32"/>
                <w:szCs w:val="32"/>
                <w:highlight w:val="none"/>
              </w:rPr>
              <w:t>供应商为专精特新企业</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rPr>
              <w:t>高新技术企业的（国家、省、市级均可）（须提供专精特新企业</w:t>
            </w:r>
            <w:r>
              <w:rPr>
                <w:rFonts w:hint="eastAsia" w:ascii="仿宋_GB2312" w:hAnsi="仿宋_GB2312" w:eastAsia="仿宋_GB2312" w:cs="仿宋_GB2312"/>
                <w:b w:val="0"/>
                <w:bCs w:val="0"/>
                <w:color w:val="auto"/>
                <w:sz w:val="32"/>
                <w:szCs w:val="32"/>
                <w:highlight w:val="none"/>
                <w:lang w:val="en-US" w:eastAsia="zh-CN"/>
              </w:rPr>
              <w:t>或</w:t>
            </w:r>
            <w:r>
              <w:rPr>
                <w:rFonts w:hint="eastAsia" w:ascii="仿宋_GB2312" w:hAnsi="仿宋_GB2312" w:eastAsia="仿宋_GB2312" w:cs="仿宋_GB2312"/>
                <w:b w:val="0"/>
                <w:bCs w:val="0"/>
                <w:color w:val="auto"/>
                <w:sz w:val="32"/>
                <w:szCs w:val="32"/>
                <w:highlight w:val="none"/>
              </w:rPr>
              <w:t>高新技术企业证书</w:t>
            </w:r>
            <w:r>
              <w:rPr>
                <w:rFonts w:hint="eastAsia" w:ascii="仿宋_GB2312" w:hAnsi="仿宋_GB2312" w:eastAsia="仿宋_GB2312" w:cs="仿宋_GB2312"/>
                <w:b w:val="0"/>
                <w:bCs w:val="0"/>
                <w:color w:val="auto"/>
                <w:sz w:val="32"/>
                <w:szCs w:val="32"/>
                <w:highlight w:val="none"/>
                <w:lang w:val="en-US" w:eastAsia="zh-CN"/>
              </w:rPr>
              <w:t>复印件</w:t>
            </w:r>
            <w:r>
              <w:rPr>
                <w:rFonts w:hint="eastAsia" w:ascii="仿宋_GB2312" w:hAnsi="仿宋_GB2312" w:eastAsia="仿宋_GB2312" w:cs="仿宋_GB2312"/>
                <w:b w:val="0"/>
                <w:bCs w:val="0"/>
                <w:color w:val="auto"/>
                <w:sz w:val="32"/>
                <w:szCs w:val="32"/>
                <w:highlight w:val="none"/>
                <w:lang w:eastAsia="zh-CN"/>
              </w:rPr>
              <w:t>，</w:t>
            </w:r>
            <w:r>
              <w:rPr>
                <w:rFonts w:hint="eastAsia" w:ascii="仿宋_GB2312" w:hAnsi="仿宋_GB2312" w:eastAsia="仿宋_GB2312" w:cs="仿宋_GB2312"/>
                <w:b w:val="0"/>
                <w:bCs w:val="0"/>
                <w:color w:val="auto"/>
                <w:sz w:val="32"/>
                <w:szCs w:val="32"/>
                <w:highlight w:val="none"/>
              </w:rPr>
              <w:t>且在有效期内，不提供或</w:t>
            </w:r>
            <w:r>
              <w:rPr>
                <w:rFonts w:hint="eastAsia" w:ascii="仿宋_GB2312" w:hAnsi="仿宋_GB2312" w:eastAsia="仿宋_GB2312" w:cs="仿宋_GB2312"/>
                <w:b w:val="0"/>
                <w:bCs w:val="0"/>
                <w:sz w:val="32"/>
                <w:szCs w:val="32"/>
                <w:highlight w:val="none"/>
              </w:rPr>
              <w:t>证书</w:t>
            </w:r>
            <w:r>
              <w:rPr>
                <w:rFonts w:hint="eastAsia" w:ascii="仿宋_GB2312" w:hAnsi="仿宋_GB2312" w:eastAsia="仿宋_GB2312" w:cs="仿宋_GB2312"/>
                <w:b w:val="0"/>
                <w:bCs w:val="0"/>
                <w:color w:val="auto"/>
                <w:sz w:val="32"/>
                <w:szCs w:val="32"/>
                <w:highlight w:val="none"/>
              </w:rPr>
              <w:t>不在有效期内的均不得分）</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color w:val="auto"/>
                <w:sz w:val="32"/>
                <w:szCs w:val="32"/>
                <w:highlight w:val="none"/>
                <w:lang w:val="en-US" w:eastAsia="zh-CN"/>
              </w:rPr>
              <w:t>供应商提供的自2018年以来市级政府委托的软件开发类或运维服务业绩。（须提供政府相关合同）</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rPr>
            </w:pP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sz w:val="32"/>
                <w:szCs w:val="32"/>
                <w:highlight w:val="none"/>
              </w:rPr>
              <w:t>供应商具有自主研发的</w:t>
            </w:r>
            <w:r>
              <w:rPr>
                <w:rFonts w:hint="eastAsia" w:ascii="仿宋_GB2312" w:hAnsi="仿宋_GB2312" w:eastAsia="仿宋_GB2312" w:cs="仿宋_GB2312"/>
                <w:b w:val="0"/>
                <w:bCs w:val="0"/>
                <w:sz w:val="32"/>
                <w:szCs w:val="32"/>
                <w:highlight w:val="none"/>
                <w:lang w:val="en-US" w:eastAsia="zh-CN"/>
              </w:rPr>
              <w:t>房屋评估和地产信息决策/监测/统计</w:t>
            </w:r>
            <w:r>
              <w:rPr>
                <w:rFonts w:hint="eastAsia" w:ascii="仿宋_GB2312" w:hAnsi="仿宋_GB2312" w:eastAsia="仿宋_GB2312" w:cs="仿宋_GB2312"/>
                <w:b w:val="0"/>
                <w:bCs w:val="0"/>
                <w:sz w:val="32"/>
                <w:szCs w:val="32"/>
                <w:highlight w:val="none"/>
              </w:rPr>
              <w:t>类软件著作权证书</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color w:val="auto"/>
                <w:sz w:val="32"/>
                <w:szCs w:val="32"/>
                <w:highlight w:val="none"/>
              </w:rPr>
              <w:t>每提供一项得</w:t>
            </w: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rPr>
              <w:t>分，</w:t>
            </w:r>
            <w:r>
              <w:rPr>
                <w:rFonts w:hint="eastAsia" w:ascii="仿宋_GB2312" w:hAnsi="仿宋_GB2312" w:eastAsia="仿宋_GB2312" w:cs="仿宋_GB2312"/>
                <w:b/>
                <w:bCs/>
                <w:color w:val="auto"/>
                <w:sz w:val="32"/>
                <w:szCs w:val="32"/>
                <w:highlight w:val="none"/>
              </w:rPr>
              <w:t>最高得</w:t>
            </w:r>
            <w:r>
              <w:rPr>
                <w:rFonts w:hint="eastAsia" w:ascii="仿宋_GB2312" w:hAnsi="仿宋_GB2312" w:eastAsia="仿宋_GB2312" w:cs="仿宋_GB2312"/>
                <w:b/>
                <w:bCs/>
                <w:color w:val="auto"/>
                <w:sz w:val="32"/>
                <w:szCs w:val="32"/>
                <w:highlight w:val="none"/>
                <w:lang w:val="en-US" w:eastAsia="zh-CN"/>
              </w:rPr>
              <w:t>10</w:t>
            </w:r>
            <w:r>
              <w:rPr>
                <w:rFonts w:hint="eastAsia" w:ascii="仿宋_GB2312" w:hAnsi="仿宋_GB2312" w:eastAsia="仿宋_GB2312" w:cs="仿宋_GB2312"/>
                <w:b/>
                <w:bCs/>
                <w:color w:val="auto"/>
                <w:sz w:val="32"/>
                <w:szCs w:val="32"/>
                <w:highlight w:val="none"/>
              </w:rPr>
              <w:t>分</w:t>
            </w:r>
            <w:r>
              <w:rPr>
                <w:rFonts w:hint="eastAsia" w:ascii="仿宋_GB2312" w:hAnsi="仿宋_GB2312" w:eastAsia="仿宋_GB2312" w:cs="仿宋_GB2312"/>
                <w:b w:val="0"/>
                <w:bCs w:val="0"/>
                <w:sz w:val="32"/>
                <w:szCs w:val="32"/>
                <w:highlight w:val="none"/>
              </w:rPr>
              <w:t>（须提供有效的计算机软件著作权登记证书复印件）</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restart"/>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技术能力（25分）</w:t>
            </w: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提供完整科学的运维服务方案（方案包括故障处理、数据备份安全等流程，逻辑清晰可操作强），最高得20分。</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vMerge w:val="continue"/>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具有数据库运行状态监控工具</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141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服务支持（5分）</w:t>
            </w: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售后服务承诺，提供7×24小时技术支持，工作日运维服务响应时间应在4小时以内，非工作日运维响应时间应在6小时以内;若需乙方指派专人现场进行运维服务的乙方应在接到甲方运维服务通知后12小时内赶到甲方现场。</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报价</w:t>
            </w:r>
          </w:p>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（30分）</w:t>
            </w:r>
          </w:p>
        </w:tc>
        <w:tc>
          <w:tcPr>
            <w:tcW w:w="6467"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left"/>
              <w:textAlignment w:val="auto"/>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rPr>
              <w:t>报价得分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评标基准价（</w:t>
            </w:r>
            <w:r>
              <w:rPr>
                <w:rFonts w:hint="eastAsia" w:ascii="仿宋_GB2312" w:hAnsi="仿宋_GB2312" w:eastAsia="仿宋_GB2312" w:cs="仿宋_GB2312"/>
                <w:sz w:val="32"/>
                <w:szCs w:val="32"/>
                <w:lang w:val="en-US" w:eastAsia="zh-CN"/>
              </w:rPr>
              <w:t>最低价</w:t>
            </w:r>
            <w:r>
              <w:rPr>
                <w:rFonts w:hint="eastAsia" w:ascii="仿宋_GB2312" w:hAnsi="仿宋_GB2312" w:eastAsia="仿宋_GB2312" w:cs="仿宋_GB2312"/>
                <w:sz w:val="32"/>
                <w:szCs w:val="32"/>
              </w:rPr>
              <w:t>）/供应商报价〕×价格分值</w:t>
            </w:r>
          </w:p>
        </w:tc>
        <w:tc>
          <w:tcPr>
            <w:tcW w:w="721" w:type="dxa"/>
            <w:noWrap w:val="0"/>
            <w:tcMar>
              <w:top w:w="0" w:type="dxa"/>
              <w:left w:w="0" w:type="dxa"/>
              <w:bottom w:w="0" w:type="dxa"/>
              <w:right w:w="0" w:type="dxa"/>
            </w:tcMar>
            <w:vAlign w:val="center"/>
          </w:tcPr>
          <w:p>
            <w:pPr>
              <w:keepNext w:val="0"/>
              <w:keepLines/>
              <w:pageBreakBefore w:val="0"/>
              <w:widowControl/>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30</w:t>
            </w:r>
          </w:p>
        </w:tc>
      </w:tr>
    </w:tbl>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right="0" w:rightChars="0" w:firstLine="643" w:firstLineChars="200"/>
        <w:jc w:val="left"/>
        <w:textAlignment w:val="auto"/>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highlight w:val="none"/>
          <w:lang w:val="en-US" w:eastAsia="zh-CN"/>
        </w:rPr>
        <w:t>九、提交材料时间和地点：</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color w:val="FF0000"/>
          <w:sz w:val="32"/>
          <w:szCs w:val="32"/>
          <w:highlight w:val="none"/>
        </w:rPr>
      </w:pP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10</w:t>
      </w:r>
      <w:r>
        <w:rPr>
          <w:rFonts w:hint="eastAsia" w:ascii="仿宋_GB2312" w:hAnsi="仿宋_GB2312" w:eastAsia="仿宋_GB2312" w:cs="仿宋_GB2312"/>
          <w:color w:val="auto"/>
          <w:sz w:val="32"/>
          <w:szCs w:val="32"/>
          <w:highlight w:val="none"/>
        </w:rPr>
        <w:t>日前将应邀材料用不透明纸袋密封并加盖骑缝章（单位公章）报送至赤峰市住房和城乡建设局</w:t>
      </w:r>
      <w:r>
        <w:rPr>
          <w:rFonts w:hint="eastAsia" w:ascii="仿宋_GB2312" w:hAnsi="仿宋_GB2312" w:eastAsia="仿宋_GB2312" w:cs="仿宋_GB2312"/>
          <w:color w:val="auto"/>
          <w:sz w:val="32"/>
          <w:szCs w:val="32"/>
          <w:highlight w:val="none"/>
          <w:lang w:val="en-US" w:eastAsia="zh-CN"/>
        </w:rPr>
        <w:t>410</w:t>
      </w:r>
      <w:r>
        <w:rPr>
          <w:rFonts w:hint="eastAsia" w:ascii="仿宋_GB2312" w:hAnsi="仿宋_GB2312" w:eastAsia="仿宋_GB2312" w:cs="仿宋_GB2312"/>
          <w:color w:val="auto"/>
          <w:sz w:val="32"/>
          <w:szCs w:val="32"/>
          <w:highlight w:val="none"/>
        </w:rPr>
        <w:t>室。我单位于202</w:t>
      </w: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月</w:t>
      </w:r>
      <w:r>
        <w:rPr>
          <w:rFonts w:hint="eastAsia" w:ascii="仿宋_GB2312" w:hAnsi="仿宋_GB2312" w:eastAsia="仿宋_GB2312" w:cs="仿宋_GB2312"/>
          <w:color w:val="auto"/>
          <w:sz w:val="32"/>
          <w:szCs w:val="32"/>
          <w:highlight w:val="none"/>
          <w:lang w:val="en-US" w:eastAsia="zh-CN"/>
        </w:rPr>
        <w:t>11</w:t>
      </w:r>
      <w:r>
        <w:rPr>
          <w:rFonts w:hint="eastAsia" w:ascii="仿宋_GB2312" w:hAnsi="仿宋_GB2312" w:eastAsia="仿宋_GB2312" w:cs="仿宋_GB2312"/>
          <w:color w:val="auto"/>
          <w:sz w:val="32"/>
          <w:szCs w:val="32"/>
          <w:highlight w:val="none"/>
        </w:rPr>
        <w:t>日上午</w:t>
      </w:r>
      <w:r>
        <w:rPr>
          <w:rFonts w:hint="eastAsia" w:ascii="仿宋_GB2312" w:hAnsi="仿宋_GB2312" w:eastAsia="仿宋_GB2312" w:cs="仿宋_GB2312"/>
          <w:color w:val="auto"/>
          <w:sz w:val="32"/>
          <w:szCs w:val="32"/>
          <w:highlight w:val="none"/>
          <w:lang w:val="en-US" w:eastAsia="zh-CN"/>
        </w:rPr>
        <w:t>10时</w:t>
      </w:r>
      <w:r>
        <w:rPr>
          <w:rFonts w:hint="eastAsia" w:ascii="仿宋_GB2312" w:hAnsi="仿宋_GB2312" w:eastAsia="仿宋_GB2312" w:cs="仿宋_GB2312"/>
          <w:color w:val="auto"/>
          <w:sz w:val="32"/>
          <w:szCs w:val="32"/>
          <w:highlight w:val="none"/>
        </w:rPr>
        <w:t>于赤峰市住房和城乡建设局</w:t>
      </w:r>
      <w:r>
        <w:rPr>
          <w:rFonts w:hint="eastAsia" w:ascii="仿宋_GB2312" w:hAnsi="仿宋_GB2312" w:eastAsia="仿宋_GB2312" w:cs="仿宋_GB2312"/>
          <w:color w:val="auto"/>
          <w:sz w:val="32"/>
          <w:szCs w:val="32"/>
          <w:highlight w:val="none"/>
          <w:lang w:val="en-US" w:eastAsia="zh-CN"/>
        </w:rPr>
        <w:t>420</w:t>
      </w:r>
      <w:r>
        <w:rPr>
          <w:rFonts w:hint="eastAsia" w:ascii="仿宋_GB2312" w:hAnsi="仿宋_GB2312" w:eastAsia="仿宋_GB2312" w:cs="仿宋_GB2312"/>
          <w:color w:val="auto"/>
          <w:sz w:val="32"/>
          <w:szCs w:val="32"/>
          <w:highlight w:val="none"/>
        </w:rPr>
        <w:t>室对资料进行评审。应邀单位需携带公司营业执照复印件、法人代表授权委托书、授权委托人身份证原件、应邀文件（应邀文件需一正一副，应邀文件格式见附件一）、以供评审。</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十、选定办法：</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我单位组成评审小组，对供应商提供材料进行综合评审，排名最高者作为选定供应商。</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十一、其他事项：</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合同采用行业通用合同文本，设计本次采购服务的具体条款，详见附件</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十二、联系人</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采 购 人：</w:t>
      </w:r>
      <w:r>
        <w:rPr>
          <w:rFonts w:hint="eastAsia" w:ascii="仿宋_GB2312" w:hAnsi="仿宋_GB2312" w:eastAsia="仿宋_GB2312" w:cs="仿宋_GB2312"/>
          <w:b w:val="0"/>
          <w:bCs w:val="0"/>
          <w:color w:val="auto"/>
          <w:sz w:val="32"/>
          <w:szCs w:val="32"/>
          <w:highlight w:val="none"/>
          <w:lang w:val="en-US" w:eastAsia="zh-CN"/>
        </w:rPr>
        <w:t>赤峰市住房保障服务中心</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地    址：赤峰市住房和城乡建设局</w:t>
      </w:r>
      <w:r>
        <w:rPr>
          <w:rFonts w:hint="eastAsia" w:ascii="仿宋_GB2312" w:hAnsi="仿宋_GB2312" w:eastAsia="仿宋_GB2312" w:cs="仿宋_GB2312"/>
          <w:b w:val="0"/>
          <w:bCs w:val="0"/>
          <w:color w:val="auto"/>
          <w:sz w:val="32"/>
          <w:szCs w:val="32"/>
          <w:highlight w:val="none"/>
          <w:lang w:val="en-US" w:eastAsia="zh-CN"/>
        </w:rPr>
        <w:t>410</w:t>
      </w:r>
      <w:r>
        <w:rPr>
          <w:rFonts w:hint="eastAsia" w:ascii="仿宋_GB2312" w:hAnsi="仿宋_GB2312" w:eastAsia="仿宋_GB2312" w:cs="仿宋_GB2312"/>
          <w:b w:val="0"/>
          <w:bCs w:val="0"/>
          <w:color w:val="auto"/>
          <w:sz w:val="32"/>
          <w:szCs w:val="32"/>
          <w:highlight w:val="none"/>
        </w:rPr>
        <w:t>室</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联 系 人：</w:t>
      </w:r>
      <w:r>
        <w:rPr>
          <w:rFonts w:hint="eastAsia" w:ascii="仿宋_GB2312" w:hAnsi="仿宋_GB2312" w:eastAsia="仿宋_GB2312" w:cs="仿宋_GB2312"/>
          <w:b w:val="0"/>
          <w:bCs w:val="0"/>
          <w:color w:val="auto"/>
          <w:sz w:val="32"/>
          <w:szCs w:val="32"/>
          <w:lang w:val="en-US" w:eastAsia="zh-CN"/>
        </w:rPr>
        <w:t>陈同宽</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rPr>
        <w:t>电    话：</w:t>
      </w:r>
      <w:r>
        <w:rPr>
          <w:rFonts w:hint="eastAsia" w:ascii="仿宋_GB2312" w:hAnsi="仿宋_GB2312" w:eastAsia="仿宋_GB2312" w:cs="仿宋_GB2312"/>
          <w:b w:val="0"/>
          <w:bCs w:val="0"/>
          <w:color w:val="auto"/>
          <w:sz w:val="32"/>
          <w:szCs w:val="32"/>
          <w:lang w:val="en-US" w:eastAsia="zh-CN"/>
        </w:rPr>
        <w:t xml:space="preserve">0476-5890055  </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rightChars="0" w:firstLine="643" w:firstLineChars="200"/>
        <w:jc w:val="left"/>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十三、附件</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附件一：应邀文件格式</w:t>
      </w:r>
    </w:p>
    <w:p>
      <w:pPr>
        <w:keepNext w:val="0"/>
        <w:keepLines/>
        <w:pageBreakBefore w:val="0"/>
        <w:widowControl/>
        <w:numPr>
          <w:ilvl w:val="0"/>
          <w:numId w:val="0"/>
        </w:numPr>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b w:val="0"/>
          <w:bCs w:val="0"/>
          <w:color w:val="auto"/>
          <w:sz w:val="32"/>
          <w:szCs w:val="32"/>
        </w:rPr>
      </w:pPr>
      <w:r>
        <w:rPr>
          <w:rFonts w:hint="eastAsia" w:ascii="仿宋_GB2312" w:hAnsi="仿宋_GB2312" w:eastAsia="仿宋_GB2312" w:cs="仿宋_GB2312"/>
          <w:b w:val="0"/>
          <w:bCs w:val="0"/>
          <w:color w:val="auto"/>
          <w:sz w:val="32"/>
          <w:szCs w:val="32"/>
        </w:rPr>
        <w:t>附件</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b w:val="0"/>
          <w:bCs w:val="0"/>
          <w:color w:val="auto"/>
          <w:sz w:val="32"/>
          <w:szCs w:val="32"/>
          <w:highlight w:val="none"/>
        </w:rPr>
        <w:t>合同</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Theme="minorEastAsia" w:hAnsiTheme="minorEastAsia" w:eastAsiaTheme="minorEastAsia" w:cstheme="minorEastAsia"/>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0" w:firstLine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附件</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w:t>
      </w:r>
    </w:p>
    <w:p>
      <w:pPr>
        <w:keepNext w:val="0"/>
        <w:keepLines/>
        <w:pageBreakBefore w:val="0"/>
        <w:widowControl/>
        <w:shd w:val="clear" w:color="auto" w:fill="auto"/>
        <w:kinsoku/>
        <w:wordWrap/>
        <w:overflowPunct/>
        <w:topLinePunct w:val="0"/>
        <w:autoSpaceDE/>
        <w:autoSpaceDN/>
        <w:bidi w:val="0"/>
        <w:adjustRightInd/>
        <w:snapToGrid/>
        <w:spacing w:line="560" w:lineRule="exact"/>
        <w:ind w:left="0" w:leftChars="0" w:right="0" w:firstLine="640" w:firstLineChars="200"/>
        <w:jc w:val="center"/>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赤峰市住房保障服务中心房源信息发布平台和存量房价格评估与发布系统运维项目采购文件</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center"/>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应 邀 材 料</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u w:val="single"/>
          <w:lang w:val="en-US" w:eastAsia="zh-CN"/>
        </w:rPr>
      </w:pPr>
      <w:r>
        <w:rPr>
          <w:rFonts w:hint="eastAsia" w:ascii="仿宋_GB2312" w:hAnsi="仿宋_GB2312" w:eastAsia="仿宋_GB2312" w:cs="仿宋_GB2312"/>
          <w:b w:val="0"/>
          <w:bCs/>
          <w:color w:val="auto"/>
          <w:sz w:val="32"/>
          <w:szCs w:val="32"/>
          <w:highlight w:val="none"/>
          <w:lang w:val="en-US" w:eastAsia="zh-CN"/>
        </w:rPr>
        <w:t>应邀商：</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2026年  月   日</w:t>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Theme="minorEastAsia" w:hAnsiTheme="minorEastAsia" w:eastAsiaTheme="minorEastAsia" w:cstheme="minorEastAsia"/>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 w:hAnsi="仿宋" w:eastAsia="仿宋" w:cs="仿宋"/>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 w:hAnsi="仿宋" w:eastAsia="仿宋" w:cs="仿宋"/>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 w:hAnsi="仿宋" w:eastAsia="仿宋" w:cs="仿宋"/>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 w:hAnsi="仿宋" w:eastAsia="仿宋" w:cs="仿宋"/>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 w:hAnsi="仿宋" w:eastAsia="仿宋" w:cs="仿宋"/>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rightChars="0" w:firstLine="640" w:firstLineChars="200"/>
        <w:jc w:val="left"/>
        <w:textAlignment w:val="auto"/>
        <w:rPr>
          <w:rFonts w:hint="eastAsia" w:ascii="仿宋" w:hAnsi="仿宋" w:eastAsia="仿宋" w:cs="仿宋"/>
          <w:color w:val="auto"/>
          <w:sz w:val="32"/>
          <w:szCs w:val="32"/>
        </w:rPr>
        <w:sectPr>
          <w:footerReference r:id="rId3" w:type="default"/>
          <w:pgSz w:w="11906" w:h="16838"/>
          <w:pgMar w:top="2098" w:right="1474" w:bottom="1984" w:left="1587" w:header="851" w:footer="992" w:gutter="0"/>
          <w:pgNumType w:fmt="decimal" w:start="1"/>
          <w:cols w:space="0" w:num="1"/>
          <w:rtlGutter w:val="0"/>
          <w:docGrid w:type="lines" w:linePitch="327" w:charSpace="0"/>
        </w:sectPr>
      </w:pPr>
    </w:p>
    <w:p>
      <w:pPr>
        <w:keepNext w:val="0"/>
        <w:keepLines/>
        <w:pageBreakBefore w:val="0"/>
        <w:widowControl/>
        <w:shd w:val="clear" w:color="auto" w:fill="auto"/>
        <w:kinsoku/>
        <w:wordWrap/>
        <w:overflowPunct/>
        <w:topLinePunct w:val="0"/>
        <w:autoSpaceDE/>
        <w:autoSpaceDN/>
        <w:bidi w:val="0"/>
        <w:spacing w:line="560" w:lineRule="exact"/>
        <w:ind w:left="0" w:leftChars="0" w:right="0" w:rightChars="0" w:firstLine="640" w:firstLineChars="20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目录</w:t>
      </w:r>
    </w:p>
    <w:p>
      <w:pPr>
        <w:pStyle w:val="7"/>
        <w:tabs>
          <w:tab w:val="right" w:leader="dot" w:pos="9070"/>
        </w:tabs>
        <w:ind w:left="0" w:leftChars="0"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color w:val="auto"/>
          <w:sz w:val="32"/>
          <w:szCs w:val="32"/>
          <w:highlight w:val="none"/>
          <w:lang w:val="en-US" w:eastAsia="zh-CN"/>
        </w:rPr>
        <w:fldChar w:fldCharType="begin"/>
      </w:r>
      <w:r>
        <w:rPr>
          <w:rFonts w:hint="eastAsia" w:ascii="仿宋_GB2312" w:hAnsi="仿宋_GB2312" w:eastAsia="仿宋_GB2312" w:cs="仿宋_GB2312"/>
          <w:b/>
          <w:color w:val="auto"/>
          <w:sz w:val="32"/>
          <w:szCs w:val="32"/>
          <w:highlight w:val="none"/>
          <w:lang w:val="en-US" w:eastAsia="zh-CN"/>
        </w:rPr>
        <w:instrText xml:space="preserve">TOC \o "1-1" \h \u </w:instrText>
      </w:r>
      <w:r>
        <w:rPr>
          <w:rFonts w:hint="eastAsia" w:ascii="仿宋_GB2312" w:hAnsi="仿宋_GB2312" w:eastAsia="仿宋_GB2312" w:cs="仿宋_GB2312"/>
          <w:b/>
          <w:color w:val="auto"/>
          <w:sz w:val="32"/>
          <w:szCs w:val="32"/>
          <w:highlight w:val="none"/>
          <w:lang w:val="en-US" w:eastAsia="zh-CN"/>
        </w:rPr>
        <w:fldChar w:fldCharType="separate"/>
      </w: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_Toc11839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val="0"/>
          <w:sz w:val="32"/>
          <w:szCs w:val="32"/>
          <w:highlight w:val="none"/>
          <w:lang w:val="en-US" w:eastAsia="zh-CN"/>
        </w:rPr>
        <w:t>一、企业营业执照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_Toc11839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_Toc6446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val="0"/>
          <w:sz w:val="32"/>
          <w:szCs w:val="32"/>
          <w:highlight w:val="none"/>
          <w:lang w:val="en-US" w:eastAsia="zh-CN"/>
        </w:rPr>
        <w:t>二、法定代表人身份证明书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_Toc6446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_Toc10649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val="0"/>
          <w:sz w:val="32"/>
          <w:szCs w:val="32"/>
          <w:highlight w:val="none"/>
          <w:lang w:val="en-US" w:eastAsia="zh-CN"/>
        </w:rPr>
        <w:t>三、法人代表授权委托书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_Toc10649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_Toc26461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val="0"/>
          <w:sz w:val="32"/>
          <w:szCs w:val="32"/>
          <w:highlight w:val="none"/>
          <w:lang w:val="en-US" w:eastAsia="zh-CN"/>
        </w:rPr>
        <w:t>四、应 邀 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_Toc26461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_Toc17429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kern w:val="2"/>
          <w:sz w:val="32"/>
          <w:szCs w:val="32"/>
          <w:lang w:val="en-US" w:eastAsia="zh-CN" w:bidi="ar-SA"/>
        </w:rPr>
        <w:t>五、</w:t>
      </w:r>
      <w:r>
        <w:rPr>
          <w:rFonts w:hint="eastAsia" w:ascii="仿宋_GB2312" w:hAnsi="仿宋_GB2312" w:eastAsia="仿宋_GB2312" w:cs="仿宋_GB2312"/>
          <w:bCs/>
          <w:kern w:val="2"/>
          <w:sz w:val="32"/>
          <w:szCs w:val="32"/>
          <w:highlight w:val="none"/>
          <w:lang w:val="en-US" w:eastAsia="zh-CN" w:bidi="ar-SA"/>
        </w:rPr>
        <w:t>资质材料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_Toc17429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fldChar w:fldCharType="begin"/>
      </w:r>
      <w:r>
        <w:rPr>
          <w:rFonts w:hint="eastAsia" w:ascii="仿宋_GB2312" w:hAnsi="仿宋_GB2312" w:eastAsia="仿宋_GB2312" w:cs="仿宋_GB2312"/>
          <w:sz w:val="32"/>
          <w:szCs w:val="32"/>
          <w:highlight w:val="none"/>
          <w:lang w:val="en-US" w:eastAsia="zh-CN"/>
        </w:rPr>
        <w:instrText xml:space="preserve"> HYPERLINK \l _Toc6596 </w:instrText>
      </w:r>
      <w:r>
        <w:rPr>
          <w:rFonts w:hint="eastAsia" w:ascii="仿宋_GB2312" w:hAnsi="仿宋_GB2312" w:eastAsia="仿宋_GB2312" w:cs="仿宋_GB2312"/>
          <w:sz w:val="32"/>
          <w:szCs w:val="32"/>
          <w:highlight w:val="none"/>
          <w:lang w:val="en-US" w:eastAsia="zh-CN"/>
        </w:rPr>
        <w:fldChar w:fldCharType="separate"/>
      </w:r>
      <w:r>
        <w:rPr>
          <w:rFonts w:hint="eastAsia" w:ascii="仿宋_GB2312" w:hAnsi="仿宋_GB2312" w:eastAsia="仿宋_GB2312" w:cs="仿宋_GB2312"/>
          <w:bCs/>
          <w:sz w:val="32"/>
          <w:szCs w:val="32"/>
          <w:highlight w:val="none"/>
          <w:lang w:val="en-US" w:eastAsia="zh-CN"/>
        </w:rPr>
        <w:t>六、服务方案</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_Toc6596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color w:val="auto"/>
          <w:sz w:val="32"/>
          <w:szCs w:val="32"/>
          <w:highlight w:val="none"/>
          <w:lang w:val="en-US" w:eastAsia="zh-CN"/>
        </w:rPr>
        <w:fldChar w:fldCharType="end"/>
      </w:r>
    </w:p>
    <w:p>
      <w:pPr>
        <w:pStyle w:val="7"/>
        <w:tabs>
          <w:tab w:val="right" w:leader="dot" w:pos="9070"/>
        </w:tabs>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七、服务承诺</w:t>
      </w:r>
      <w:r>
        <w:rPr>
          <w:rFonts w:hint="eastAsia" w:ascii="仿宋_GB2312" w:hAnsi="仿宋_GB2312" w:eastAsia="仿宋_GB2312" w:cs="仿宋_GB2312"/>
          <w:color w:val="auto"/>
          <w:sz w:val="32"/>
          <w:szCs w:val="32"/>
          <w:highlight w:val="none"/>
          <w:lang w:val="en-US" w:eastAsia="zh-CN"/>
        </w:rPr>
        <w:tab/>
      </w:r>
    </w:p>
    <w:p>
      <w:pPr>
        <w:rPr>
          <w:rFonts w:hint="eastAsia" w:ascii="仿宋_GB2312" w:hAnsi="仿宋_GB2312" w:eastAsia="仿宋_GB2312" w:cs="仿宋_GB2312"/>
          <w:lang w:val="en-US" w:eastAsia="zh-CN"/>
        </w:rPr>
      </w:pPr>
    </w:p>
    <w:p>
      <w:pPr>
        <w:ind w:left="0" w:leftChars="0" w:firstLine="0" w:firstLineChars="0"/>
        <w:rPr>
          <w:rFonts w:hint="eastAsia" w:ascii="仿宋_GB2312" w:hAnsi="仿宋_GB2312" w:eastAsia="仿宋_GB2312" w:cs="仿宋_GB2312"/>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fldChar w:fldCharType="end"/>
      </w: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right="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right="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right="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right="0"/>
        <w:jc w:val="left"/>
        <w:textAlignment w:val="auto"/>
        <w:outlineLvl w:val="0"/>
        <w:rPr>
          <w:rFonts w:hint="eastAsia" w:ascii="仿宋_GB2312" w:hAnsi="仿宋_GB2312" w:eastAsia="仿宋_GB2312" w:cs="仿宋_GB2312"/>
          <w:b/>
          <w:bCs w:val="0"/>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0" w:firstLineChars="0"/>
        <w:jc w:val="left"/>
        <w:textAlignment w:val="auto"/>
        <w:outlineLvl w:val="0"/>
        <w:rPr>
          <w:rFonts w:hint="eastAsia" w:ascii="仿宋_GB2312" w:hAnsi="仿宋_GB2312" w:eastAsia="仿宋_GB2312" w:cs="仿宋_GB2312"/>
          <w:b/>
          <w:bCs w:val="0"/>
          <w:color w:val="auto"/>
          <w:sz w:val="32"/>
          <w:szCs w:val="32"/>
          <w:highlight w:val="none"/>
          <w:lang w:val="en-US" w:eastAsia="zh-CN"/>
        </w:rPr>
      </w:pPr>
      <w:bookmarkStart w:id="0" w:name="_Toc11839"/>
      <w:r>
        <w:rPr>
          <w:rFonts w:hint="eastAsia" w:ascii="仿宋_GB2312" w:hAnsi="仿宋_GB2312" w:eastAsia="仿宋_GB2312" w:cs="仿宋_GB2312"/>
          <w:b/>
          <w:bCs w:val="0"/>
          <w:color w:val="auto"/>
          <w:sz w:val="32"/>
          <w:szCs w:val="32"/>
          <w:highlight w:val="none"/>
          <w:lang w:val="en-US" w:eastAsia="zh-CN"/>
        </w:rPr>
        <w:t>一、企业营业执照</w:t>
      </w:r>
      <w:bookmarkEnd w:id="0"/>
    </w:p>
    <w:p>
      <w:pPr>
        <w:keepNext w:val="0"/>
        <w:keepLines/>
        <w:pageBreakBefore w:val="0"/>
        <w:widowControl/>
        <w:shd w:val="clear" w:color="auto" w:fill="auto"/>
        <w:kinsoku/>
        <w:wordWrap/>
        <w:overflowPunct/>
        <w:topLinePunct w:val="0"/>
        <w:autoSpaceDE/>
        <w:autoSpaceDN/>
        <w:bidi w:val="0"/>
        <w:spacing w:line="560" w:lineRule="exact"/>
        <w:ind w:left="0" w:leftChars="0" w:right="0" w:firstLine="0" w:firstLineChars="0"/>
        <w:jc w:val="left"/>
        <w:textAlignment w:val="auto"/>
        <w:outlineLvl w:val="0"/>
        <w:rPr>
          <w:rFonts w:hint="eastAsia" w:ascii="仿宋_GB2312" w:hAnsi="仿宋_GB2312" w:eastAsia="仿宋_GB2312" w:cs="仿宋_GB2312"/>
          <w:b/>
          <w:bCs w:val="0"/>
          <w:color w:val="auto"/>
          <w:sz w:val="32"/>
          <w:szCs w:val="32"/>
          <w:highlight w:val="none"/>
          <w:lang w:val="en-US" w:eastAsia="zh-CN"/>
        </w:rPr>
      </w:pPr>
      <w:bookmarkStart w:id="1" w:name="_Toc6446"/>
      <w:r>
        <w:rPr>
          <w:rFonts w:hint="eastAsia" w:ascii="仿宋_GB2312" w:hAnsi="仿宋_GB2312" w:eastAsia="仿宋_GB2312" w:cs="仿宋_GB2312"/>
          <w:b/>
          <w:bCs w:val="0"/>
          <w:color w:val="auto"/>
          <w:sz w:val="32"/>
          <w:szCs w:val="32"/>
          <w:highlight w:val="none"/>
          <w:lang w:val="en-US" w:eastAsia="zh-CN"/>
        </w:rPr>
        <w:t>二、</w:t>
      </w:r>
      <w:bookmarkStart w:id="2" w:name="_Toc82062529"/>
      <w:bookmarkStart w:id="3" w:name="_Toc9428"/>
      <w:r>
        <w:rPr>
          <w:rFonts w:hint="eastAsia" w:ascii="仿宋_GB2312" w:hAnsi="仿宋_GB2312" w:eastAsia="仿宋_GB2312" w:cs="仿宋_GB2312"/>
          <w:b/>
          <w:bCs w:val="0"/>
          <w:color w:val="auto"/>
          <w:sz w:val="32"/>
          <w:szCs w:val="32"/>
          <w:highlight w:val="none"/>
          <w:lang w:val="en-US" w:eastAsia="zh-CN"/>
        </w:rPr>
        <w:t>法定代表人身份证明书</w:t>
      </w:r>
      <w:bookmarkEnd w:id="1"/>
      <w:bookmarkEnd w:id="2"/>
      <w:bookmarkEnd w:id="3"/>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单位名称：</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地    址：</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成立时间：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经营期限：</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至</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姓    名：</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性别：</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 职务：</w:t>
      </w:r>
      <w:r>
        <w:rPr>
          <w:rFonts w:hint="eastAsia" w:ascii="仿宋_GB2312" w:hAnsi="仿宋_GB2312" w:eastAsia="仿宋_GB2312" w:cs="仿宋_GB2312"/>
          <w:color w:val="auto"/>
          <w:sz w:val="32"/>
          <w:szCs w:val="32"/>
          <w:u w:val="single"/>
        </w:rPr>
        <w:tab/>
      </w:r>
      <w:r>
        <w:rPr>
          <w:rFonts w:hint="eastAsia" w:ascii="仿宋_GB2312" w:hAnsi="仿宋_GB2312" w:eastAsia="仿宋_GB2312" w:cs="仿宋_GB2312"/>
          <w:color w:val="auto"/>
          <w:sz w:val="32"/>
          <w:szCs w:val="32"/>
          <w:u w:val="single"/>
          <w:lang w:val="en-US" w:eastAsia="zh-CN"/>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的法定代表人。</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特此证明。</w:t>
      </w: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应邀</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（加盖公章）</w:t>
      </w: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tabs>
          <w:tab w:val="left" w:pos="720"/>
          <w:tab w:val="left" w:pos="900"/>
        </w:tabs>
        <w:kinsoku/>
        <w:wordWrap/>
        <w:overflowPunct/>
        <w:topLinePunct w:val="0"/>
        <w:autoSpaceDE/>
        <w:autoSpaceDN/>
        <w:bidi w:val="0"/>
        <w:adjustRightInd w:val="0"/>
        <w:snapToGrid w:val="0"/>
        <w:spacing w:line="560" w:lineRule="exact"/>
        <w:ind w:left="0" w:leftChars="0" w:right="0" w:firstLine="2880" w:firstLineChars="9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日  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bookmarkStart w:id="4" w:name="_Toc10649"/>
      <w:bookmarkStart w:id="5" w:name="_Toc82062530"/>
      <w:bookmarkStart w:id="6" w:name="_Toc29829"/>
      <w:r>
        <w:rPr>
          <w:rFonts w:hint="eastAsia" w:ascii="仿宋_GB2312" w:hAnsi="仿宋_GB2312" w:eastAsia="仿宋_GB2312" w:cs="仿宋_GB2312"/>
          <w:b/>
          <w:bCs w:val="0"/>
          <w:color w:val="auto"/>
          <w:sz w:val="32"/>
          <w:szCs w:val="32"/>
          <w:highlight w:val="none"/>
          <w:lang w:val="en-US" w:eastAsia="zh-CN"/>
        </w:rPr>
        <w:t>三、法人代表授权委托书</w:t>
      </w:r>
      <w:bookmarkEnd w:id="4"/>
      <w:bookmarkEnd w:id="5"/>
      <w:bookmarkEnd w:id="6"/>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本授权委托书声明：</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系</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的法定代表人，现授权委托</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为我公司办理</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的法定代表人授权委托代理人。对于代理人全权代表我办理、出席有关上述工程的洽谈、</w:t>
      </w:r>
      <w:r>
        <w:rPr>
          <w:rFonts w:hint="eastAsia" w:ascii="仿宋_GB2312" w:hAnsi="仿宋_GB2312" w:eastAsia="仿宋_GB2312" w:cs="仿宋_GB2312"/>
          <w:color w:val="auto"/>
          <w:sz w:val="32"/>
          <w:szCs w:val="32"/>
          <w:lang w:val="en-US" w:eastAsia="zh-CN"/>
        </w:rPr>
        <w:t>应邀</w:t>
      </w:r>
      <w:r>
        <w:rPr>
          <w:rFonts w:hint="eastAsia" w:ascii="仿宋_GB2312" w:hAnsi="仿宋_GB2312" w:eastAsia="仿宋_GB2312" w:cs="仿宋_GB2312"/>
          <w:color w:val="auto"/>
          <w:sz w:val="32"/>
          <w:szCs w:val="32"/>
        </w:rPr>
        <w:t>、签署合同等的有关事宜，我均予以承认。</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代理人无转委托权，特此委托。</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代理期限：自</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日至</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日止。</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代理人：</w:t>
      </w:r>
      <w:r>
        <w:rPr>
          <w:rFonts w:hint="eastAsia" w:ascii="仿宋_GB2312" w:hAnsi="仿宋_GB2312" w:eastAsia="仿宋_GB2312" w:cs="仿宋_GB2312"/>
          <w:color w:val="auto"/>
          <w:sz w:val="32"/>
          <w:szCs w:val="32"/>
          <w:u w:val="single"/>
        </w:rPr>
        <w:t xml:space="preserve">       （签字）</w:t>
      </w:r>
      <w:r>
        <w:rPr>
          <w:rFonts w:hint="eastAsia" w:ascii="仿宋_GB2312" w:hAnsi="仿宋_GB2312" w:eastAsia="仿宋_GB2312" w:cs="仿宋_GB2312"/>
          <w:color w:val="auto"/>
          <w:sz w:val="32"/>
          <w:szCs w:val="32"/>
        </w:rPr>
        <w:t>性别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年龄：</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lang w:val="en-US" w:eastAsia="zh-CN"/>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rPr>
        <w:t>身份证号码：</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职务：</w:t>
      </w:r>
      <w:r>
        <w:rPr>
          <w:rFonts w:hint="eastAsia" w:ascii="仿宋_GB2312" w:hAnsi="仿宋_GB2312" w:eastAsia="仿宋_GB2312" w:cs="仿宋_GB2312"/>
          <w:color w:val="auto"/>
          <w:sz w:val="32"/>
          <w:szCs w:val="32"/>
          <w:u w:val="single"/>
          <w:lang w:val="en-US" w:eastAsia="zh-CN"/>
        </w:rPr>
        <w:t xml:space="preserve">      </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应邀</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（加盖公章）</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法定代表人：</w:t>
      </w:r>
      <w:r>
        <w:rPr>
          <w:rFonts w:hint="eastAsia" w:ascii="仿宋_GB2312" w:hAnsi="仿宋_GB2312" w:eastAsia="仿宋_GB2312" w:cs="仿宋_GB2312"/>
          <w:color w:val="auto"/>
          <w:sz w:val="32"/>
          <w:szCs w:val="32"/>
          <w:u w:val="single"/>
        </w:rPr>
        <w:t xml:space="preserve">                  （签字或盖名章）</w:t>
      </w: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授权委托日期：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rPr>
        <w:t>日</w:t>
      </w:r>
    </w:p>
    <w:p>
      <w:pPr>
        <w:pStyle w:val="2"/>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bookmarkStart w:id="7" w:name="_Toc28892"/>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bCs w:val="0"/>
          <w:color w:val="auto"/>
          <w:sz w:val="32"/>
          <w:szCs w:val="32"/>
          <w:highlight w:val="none"/>
          <w:lang w:val="en-US" w:eastAsia="zh-CN"/>
        </w:rPr>
      </w:pPr>
      <w:bookmarkStart w:id="8" w:name="_Toc26461"/>
      <w:r>
        <w:rPr>
          <w:rFonts w:hint="eastAsia" w:ascii="仿宋_GB2312" w:hAnsi="仿宋_GB2312" w:eastAsia="仿宋_GB2312" w:cs="仿宋_GB2312"/>
          <w:b/>
          <w:bCs w:val="0"/>
          <w:color w:val="auto"/>
          <w:sz w:val="32"/>
          <w:szCs w:val="32"/>
          <w:highlight w:val="none"/>
          <w:lang w:val="en-US" w:eastAsia="zh-CN"/>
        </w:rPr>
        <w:t>四、应 邀 函</w:t>
      </w:r>
      <w:bookmarkEnd w:id="7"/>
      <w:bookmarkEnd w:id="8"/>
    </w:p>
    <w:p>
      <w:pPr>
        <w:keepNext w:val="0"/>
        <w:keepLines/>
        <w:pageBreakBefore w:val="0"/>
        <w:widowControl/>
        <w:shd w:val="clear" w:color="auto" w:fill="auto"/>
        <w:kinsoku/>
        <w:wordWrap/>
        <w:overflowPunct/>
        <w:topLinePunct w:val="0"/>
        <w:autoSpaceDE/>
        <w:autoSpaceDN/>
        <w:bidi w:val="0"/>
        <w:spacing w:line="560" w:lineRule="exact"/>
        <w:ind w:left="0" w:leftChars="0" w:right="0" w:firstLine="640" w:firstLineChars="200"/>
        <w:jc w:val="left"/>
        <w:textAlignment w:val="auto"/>
        <w:outlineLvl w:val="0"/>
        <w:rPr>
          <w:rFonts w:hint="eastAsia" w:ascii="仿宋_GB2312" w:hAnsi="仿宋_GB2312" w:eastAsia="仿宋_GB2312" w:cs="仿宋_GB2312"/>
          <w:b w:val="0"/>
          <w:bCs/>
          <w:color w:val="auto"/>
          <w:sz w:val="32"/>
          <w:szCs w:val="32"/>
        </w:rPr>
      </w:pPr>
      <w:bookmarkStart w:id="9" w:name="_Toc30962"/>
      <w:bookmarkStart w:id="10" w:name="_Toc8602"/>
      <w:r>
        <w:rPr>
          <w:rFonts w:hint="eastAsia" w:ascii="仿宋_GB2312" w:hAnsi="仿宋_GB2312" w:eastAsia="仿宋_GB2312" w:cs="仿宋_GB2312"/>
          <w:b w:val="0"/>
          <w:bCs/>
          <w:color w:val="auto"/>
          <w:sz w:val="32"/>
          <w:szCs w:val="32"/>
          <w:lang w:val="en-US" w:eastAsia="zh-CN"/>
        </w:rPr>
        <w:t>项目</w:t>
      </w:r>
      <w:r>
        <w:rPr>
          <w:rFonts w:hint="eastAsia" w:ascii="仿宋_GB2312" w:hAnsi="仿宋_GB2312" w:eastAsia="仿宋_GB2312" w:cs="仿宋_GB2312"/>
          <w:b w:val="0"/>
          <w:bCs/>
          <w:color w:val="auto"/>
          <w:sz w:val="32"/>
          <w:szCs w:val="32"/>
        </w:rPr>
        <w:t>名称：</w:t>
      </w:r>
      <w:bookmarkEnd w:id="9"/>
      <w:bookmarkEnd w:id="10"/>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 xml:space="preserve">                          </w:t>
      </w:r>
      <w:r>
        <w:rPr>
          <w:rFonts w:hint="eastAsia" w:ascii="仿宋_GB2312" w:hAnsi="仿宋_GB2312" w:eastAsia="仿宋_GB2312" w:cs="仿宋_GB2312"/>
          <w:b w:val="0"/>
          <w:bCs/>
          <w:color w:val="auto"/>
          <w:sz w:val="32"/>
          <w:szCs w:val="32"/>
          <w:u w:val="single"/>
        </w:rPr>
        <w:t xml:space="preserve">   </w:t>
      </w:r>
    </w:p>
    <w:p>
      <w:pPr>
        <w:keepNext w:val="0"/>
        <w:keepLines/>
        <w:pageBreakBefore w:val="0"/>
        <w:widowControl/>
        <w:shd w:val="clear" w:color="auto" w:fill="auto"/>
        <w:tabs>
          <w:tab w:val="left" w:leader="underscore" w:pos="2880"/>
        </w:tabs>
        <w:kinsoku/>
        <w:wordWrap/>
        <w:overflowPunct/>
        <w:topLinePunct w:val="0"/>
        <w:autoSpaceDE/>
        <w:autoSpaceDN/>
        <w:bidi w:val="0"/>
        <w:spacing w:line="560" w:lineRule="exact"/>
        <w:ind w:left="0" w:leftChars="0" w:right="0" w:firstLine="640" w:firstLineChars="200"/>
        <w:jc w:val="left"/>
        <w:textAlignment w:val="auto"/>
        <w:outlineLvl w:val="1"/>
        <w:rPr>
          <w:rFonts w:hint="eastAsia" w:ascii="仿宋_GB2312" w:hAnsi="仿宋_GB2312" w:eastAsia="仿宋_GB2312" w:cs="仿宋_GB2312"/>
          <w:b w:val="0"/>
          <w:bCs/>
          <w:color w:val="auto"/>
          <w:sz w:val="32"/>
          <w:szCs w:val="32"/>
          <w:u w:val="single"/>
          <w:lang w:val="en-US"/>
        </w:rPr>
      </w:pPr>
      <w:r>
        <w:rPr>
          <w:rFonts w:hint="eastAsia" w:ascii="仿宋_GB2312" w:hAnsi="仿宋_GB2312" w:eastAsia="仿宋_GB2312" w:cs="仿宋_GB2312"/>
          <w:b w:val="0"/>
          <w:bCs/>
          <w:color w:val="auto"/>
          <w:sz w:val="32"/>
          <w:szCs w:val="32"/>
        </w:rPr>
        <w:t>致：</w:t>
      </w:r>
      <w:r>
        <w:rPr>
          <w:rFonts w:hint="eastAsia" w:ascii="仿宋_GB2312" w:hAnsi="仿宋_GB2312" w:eastAsia="仿宋_GB2312" w:cs="仿宋_GB2312"/>
          <w:b w:val="0"/>
          <w:bCs/>
          <w:color w:val="auto"/>
          <w:sz w:val="32"/>
          <w:szCs w:val="32"/>
          <w:u w:val="single"/>
          <w:lang w:val="en-US" w:eastAsia="zh-CN"/>
        </w:rPr>
        <w:t xml:space="preserve">赤峰市住房保障服务中心                </w:t>
      </w: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adjustRightIn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u w:val="single"/>
        </w:rPr>
      </w:pPr>
      <w:r>
        <w:rPr>
          <w:rFonts w:hint="eastAsia" w:ascii="仿宋_GB2312" w:hAnsi="仿宋_GB2312" w:eastAsia="仿宋_GB2312" w:cs="仿宋_GB2312"/>
          <w:color w:val="auto"/>
          <w:sz w:val="32"/>
          <w:szCs w:val="32"/>
        </w:rPr>
        <w:t>在充分研究</w:t>
      </w:r>
      <w:r>
        <w:rPr>
          <w:rFonts w:hint="eastAsia" w:ascii="仿宋_GB2312" w:hAnsi="仿宋_GB2312" w:eastAsia="仿宋_GB2312" w:cs="仿宋_GB2312"/>
          <w:color w:val="auto"/>
          <w:sz w:val="32"/>
          <w:szCs w:val="32"/>
          <w:lang w:val="en-US" w:eastAsia="zh-CN"/>
        </w:rPr>
        <w:t>本项目</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应邀</w:t>
      </w:r>
      <w:r>
        <w:rPr>
          <w:rFonts w:hint="eastAsia" w:ascii="仿宋_GB2312" w:hAnsi="仿宋_GB2312" w:eastAsia="仿宋_GB2312" w:cs="仿宋_GB2312"/>
          <w:color w:val="auto"/>
          <w:sz w:val="32"/>
          <w:szCs w:val="32"/>
        </w:rPr>
        <w:t>须知、技术标准和要求、合同条款及</w:t>
      </w:r>
      <w:r>
        <w:rPr>
          <w:rFonts w:hint="eastAsia" w:ascii="仿宋_GB2312" w:hAnsi="仿宋_GB2312" w:eastAsia="仿宋_GB2312" w:cs="仿宋_GB2312"/>
          <w:color w:val="auto"/>
          <w:sz w:val="32"/>
          <w:szCs w:val="32"/>
          <w:lang w:val="en-US" w:eastAsia="zh-CN"/>
        </w:rPr>
        <w:t>采购文件</w:t>
      </w:r>
      <w:r>
        <w:rPr>
          <w:rFonts w:hint="eastAsia" w:ascii="仿宋_GB2312" w:hAnsi="仿宋_GB2312" w:eastAsia="仿宋_GB2312" w:cs="仿宋_GB2312"/>
          <w:color w:val="auto"/>
          <w:sz w:val="32"/>
          <w:szCs w:val="32"/>
        </w:rPr>
        <w:t>中规定的其他要求和条件后，我们兹以人民币（大写）：</w:t>
      </w:r>
      <w:r>
        <w:rPr>
          <w:rFonts w:hint="eastAsia" w:ascii="仿宋_GB2312" w:hAnsi="仿宋_GB2312" w:eastAsia="仿宋_GB2312" w:cs="仿宋_GB2312"/>
          <w:color w:val="auto"/>
          <w:sz w:val="32"/>
          <w:szCs w:val="32"/>
          <w:u w:val="single"/>
        </w:rPr>
        <w:t xml:space="preserve"> </w:t>
      </w: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adjustRightIn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rPr>
        <w:t>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rPr>
        <w:t>元的价格</w:t>
      </w:r>
      <w:r>
        <w:rPr>
          <w:rFonts w:hint="eastAsia" w:ascii="仿宋_GB2312" w:hAnsi="仿宋_GB2312" w:eastAsia="仿宋_GB2312" w:cs="仿宋_GB2312"/>
          <w:color w:val="auto"/>
          <w:sz w:val="32"/>
          <w:szCs w:val="32"/>
          <w:lang w:val="en-US" w:eastAsia="zh-CN"/>
        </w:rPr>
        <w:t>应邀</w:t>
      </w:r>
      <w:r>
        <w:rPr>
          <w:rFonts w:hint="eastAsia" w:ascii="仿宋_GB2312" w:hAnsi="仿宋_GB2312" w:eastAsia="仿宋_GB2312" w:cs="仿宋_GB2312"/>
          <w:color w:val="auto"/>
          <w:sz w:val="32"/>
          <w:szCs w:val="32"/>
        </w:rPr>
        <w:t>，并严格按照上述</w:t>
      </w: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rPr>
        <w:t>合同条款、</w:t>
      </w:r>
      <w:r>
        <w:rPr>
          <w:rFonts w:hint="eastAsia" w:ascii="仿宋_GB2312" w:hAnsi="仿宋_GB2312" w:eastAsia="仿宋_GB2312" w:cs="仿宋_GB2312"/>
          <w:color w:val="auto"/>
          <w:sz w:val="32"/>
          <w:szCs w:val="32"/>
          <w:lang w:val="en-US" w:eastAsia="zh-CN"/>
        </w:rPr>
        <w:t>资质要求</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服务内容的</w:t>
      </w:r>
      <w:r>
        <w:rPr>
          <w:rFonts w:hint="eastAsia" w:ascii="仿宋_GB2312" w:hAnsi="仿宋_GB2312" w:eastAsia="仿宋_GB2312" w:cs="仿宋_GB2312"/>
          <w:color w:val="auto"/>
          <w:sz w:val="32"/>
          <w:szCs w:val="32"/>
        </w:rPr>
        <w:t>要求以及其他合同文件约定，实施、完成本</w:t>
      </w:r>
      <w:r>
        <w:rPr>
          <w:rFonts w:hint="eastAsia" w:ascii="仿宋_GB2312" w:hAnsi="仿宋_GB2312" w:eastAsia="仿宋_GB2312" w:cs="仿宋_GB2312"/>
          <w:color w:val="auto"/>
          <w:sz w:val="32"/>
          <w:szCs w:val="32"/>
          <w:lang w:val="en-US" w:eastAsia="zh-CN"/>
        </w:rPr>
        <w:t>项目。</w:t>
      </w: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outlineLvl w:val="1"/>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color w:val="auto"/>
          <w:sz w:val="32"/>
          <w:szCs w:val="32"/>
          <w:lang w:val="en-US" w:eastAsia="zh-CN"/>
        </w:rPr>
        <w:t>应邀商</w:t>
      </w:r>
      <w:r>
        <w:rPr>
          <w:rFonts w:hint="eastAsia" w:ascii="仿宋_GB2312" w:hAnsi="仿宋_GB2312" w:eastAsia="仿宋_GB2312" w:cs="仿宋_GB2312"/>
          <w:bCs/>
          <w:color w:val="auto"/>
          <w:sz w:val="32"/>
          <w:szCs w:val="32"/>
        </w:rPr>
        <w:t>（盖章）</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 xml:space="preserve">                                   </w:t>
      </w: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outlineLvl w:val="1"/>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color w:val="auto"/>
          <w:sz w:val="32"/>
          <w:szCs w:val="32"/>
        </w:rPr>
        <w:t>法人代表或委托代理人</w:t>
      </w:r>
      <w:r>
        <w:rPr>
          <w:rFonts w:hint="eastAsia" w:ascii="仿宋_GB2312" w:hAnsi="仿宋_GB2312" w:eastAsia="仿宋_GB2312" w:cs="仿宋_GB2312"/>
          <w:color w:val="auto"/>
          <w:sz w:val="32"/>
          <w:szCs w:val="32"/>
        </w:rPr>
        <w:t>（签字或盖章）</w:t>
      </w:r>
      <w:r>
        <w:rPr>
          <w:rFonts w:hint="eastAsia" w:ascii="仿宋_GB2312" w:hAnsi="仿宋_GB2312" w:eastAsia="仿宋_GB2312" w:cs="仿宋_GB2312"/>
          <w:b/>
          <w:color w:val="auto"/>
          <w:sz w:val="32"/>
          <w:szCs w:val="32"/>
        </w:rPr>
        <w:t>：</w:t>
      </w:r>
      <w:r>
        <w:rPr>
          <w:rFonts w:hint="eastAsia" w:ascii="仿宋_GB2312" w:hAnsi="仿宋_GB2312" w:eastAsia="仿宋_GB2312" w:cs="仿宋_GB2312"/>
          <w:b/>
          <w:color w:val="auto"/>
          <w:sz w:val="32"/>
          <w:szCs w:val="32"/>
          <w:lang w:val="en-US" w:eastAsia="zh-CN"/>
        </w:rPr>
        <w:t xml:space="preserve">               </w:t>
      </w: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color w:val="auto"/>
          <w:sz w:val="32"/>
          <w:szCs w:val="32"/>
        </w:rPr>
      </w:pPr>
      <w:bookmarkStart w:id="11" w:name="_Toc23490"/>
      <w:bookmarkStart w:id="12" w:name="_Toc30253"/>
      <w:r>
        <w:rPr>
          <w:rFonts w:hint="eastAsia" w:ascii="仿宋_GB2312" w:hAnsi="仿宋_GB2312" w:eastAsia="仿宋_GB2312" w:cs="仿宋_GB2312"/>
          <w:b/>
          <w:color w:val="auto"/>
          <w:sz w:val="32"/>
          <w:szCs w:val="32"/>
        </w:rPr>
        <w:t>日期：</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color w:val="auto"/>
          <w:sz w:val="32"/>
          <w:szCs w:val="32"/>
        </w:rPr>
        <w:t>年</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color w:val="auto"/>
          <w:sz w:val="32"/>
          <w:szCs w:val="32"/>
        </w:rPr>
        <w:t>月</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b/>
          <w:color w:val="auto"/>
          <w:sz w:val="32"/>
          <w:szCs w:val="32"/>
        </w:rPr>
        <w:t>日</w:t>
      </w:r>
      <w:bookmarkEnd w:id="11"/>
      <w:bookmarkEnd w:id="12"/>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3" w:firstLineChars="200"/>
        <w:jc w:val="left"/>
        <w:textAlignment w:val="auto"/>
        <w:outlineLvl w:val="0"/>
        <w:rPr>
          <w:rFonts w:hint="eastAsia" w:ascii="仿宋_GB2312" w:hAnsi="仿宋_GB2312" w:eastAsia="仿宋_GB2312" w:cs="仿宋_GB2312"/>
          <w:b/>
          <w:color w:val="auto"/>
          <w:sz w:val="32"/>
          <w:szCs w:val="32"/>
        </w:rPr>
      </w:pPr>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spacing w:line="560" w:lineRule="exact"/>
        <w:ind w:left="0" w:leftChars="0" w:right="0" w:firstLine="640" w:firstLineChars="200"/>
        <w:jc w:val="left"/>
        <w:textAlignment w:val="auto"/>
        <w:outlineLvl w:val="0"/>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br w:type="page"/>
      </w:r>
    </w:p>
    <w:p>
      <w:pPr>
        <w:keepNext w:val="0"/>
        <w:keepLines/>
        <w:pageBreakBefore w:val="0"/>
        <w:widowControl/>
        <w:numPr>
          <w:ilvl w:val="0"/>
          <w:numId w:val="3"/>
        </w:numPr>
        <w:shd w:val="clear" w:color="auto" w:fill="auto"/>
        <w:tabs>
          <w:tab w:val="left" w:leader="underscore" w:pos="3600"/>
          <w:tab w:val="left" w:leader="underscore" w:pos="5400"/>
        </w:tabs>
        <w:kinsoku/>
        <w:wordWrap/>
        <w:overflowPunct/>
        <w:topLinePunct w:val="0"/>
        <w:autoSpaceDE/>
        <w:autoSpaceDN/>
        <w:bidi w:val="0"/>
        <w:adjustRightInd/>
        <w:snapToGrid/>
        <w:spacing w:line="360" w:lineRule="auto"/>
        <w:ind w:left="0" w:leftChars="0" w:right="0" w:firstLine="643" w:firstLineChars="200"/>
        <w:jc w:val="left"/>
        <w:textAlignment w:val="auto"/>
        <w:outlineLvl w:val="0"/>
        <w:rPr>
          <w:rFonts w:hint="eastAsia" w:ascii="仿宋_GB2312" w:hAnsi="仿宋_GB2312" w:eastAsia="仿宋_GB2312" w:cs="仿宋_GB2312"/>
          <w:b/>
          <w:bCs/>
          <w:color w:val="auto"/>
          <w:kern w:val="2"/>
          <w:sz w:val="32"/>
          <w:szCs w:val="32"/>
          <w:highlight w:val="none"/>
          <w:lang w:val="en-US" w:eastAsia="zh-CN" w:bidi="ar-SA"/>
        </w:rPr>
      </w:pPr>
      <w:bookmarkStart w:id="13" w:name="_Toc17429"/>
      <w:r>
        <w:rPr>
          <w:rFonts w:hint="eastAsia" w:ascii="仿宋_GB2312" w:hAnsi="仿宋_GB2312" w:eastAsia="仿宋_GB2312" w:cs="仿宋_GB2312"/>
          <w:b/>
          <w:bCs/>
          <w:color w:val="auto"/>
          <w:kern w:val="2"/>
          <w:sz w:val="32"/>
          <w:szCs w:val="32"/>
          <w:highlight w:val="none"/>
          <w:lang w:val="en-US" w:eastAsia="zh-CN" w:bidi="ar-SA"/>
        </w:rPr>
        <w:t>资质材料</w:t>
      </w:r>
      <w:bookmarkEnd w:id="13"/>
    </w:p>
    <w:p>
      <w:pPr>
        <w:keepNext w:val="0"/>
        <w:keepLines/>
        <w:pageBreakBefore w:val="0"/>
        <w:widowControl/>
        <w:shd w:val="clear" w:color="auto" w:fill="auto"/>
        <w:tabs>
          <w:tab w:val="left" w:leader="underscore" w:pos="3600"/>
          <w:tab w:val="left" w:leader="underscore" w:pos="5400"/>
        </w:tabs>
        <w:kinsoku/>
        <w:wordWrap/>
        <w:overflowPunct/>
        <w:topLinePunct w:val="0"/>
        <w:autoSpaceDE/>
        <w:autoSpaceDN/>
        <w:bidi w:val="0"/>
        <w:adjustRightInd/>
        <w:snapToGrid/>
        <w:spacing w:line="360" w:lineRule="auto"/>
        <w:ind w:left="0" w:leftChars="0" w:right="0" w:firstLine="643" w:firstLineChars="200"/>
        <w:jc w:val="left"/>
        <w:textAlignment w:val="auto"/>
        <w:outlineLvl w:val="0"/>
        <w:rPr>
          <w:rFonts w:hint="eastAsia" w:ascii="仿宋_GB2312" w:hAnsi="仿宋_GB2312" w:eastAsia="仿宋_GB2312" w:cs="仿宋_GB2312"/>
          <w:b/>
          <w:bCs/>
          <w:color w:val="auto"/>
          <w:sz w:val="32"/>
          <w:szCs w:val="32"/>
          <w:highlight w:val="none"/>
          <w:lang w:val="en-US" w:eastAsia="zh-CN"/>
        </w:rPr>
      </w:pPr>
      <w:bookmarkStart w:id="14" w:name="_Toc6596"/>
      <w:r>
        <w:rPr>
          <w:rFonts w:hint="eastAsia" w:ascii="仿宋_GB2312" w:hAnsi="仿宋_GB2312" w:eastAsia="仿宋_GB2312" w:cs="仿宋_GB2312"/>
          <w:b/>
          <w:bCs/>
          <w:color w:val="auto"/>
          <w:sz w:val="32"/>
          <w:szCs w:val="32"/>
          <w:highlight w:val="none"/>
          <w:lang w:val="en-US" w:eastAsia="zh-CN"/>
        </w:rPr>
        <w:t>六、运维服务方案</w:t>
      </w:r>
      <w:bookmarkEnd w:id="14"/>
    </w:p>
    <w:p>
      <w:pPr>
        <w:keepNext w:val="0"/>
        <w:keepLines/>
        <w:pageBreakBefore w:val="0"/>
        <w:widowControl/>
        <w:numPr>
          <w:ilvl w:val="0"/>
          <w:numId w:val="0"/>
        </w:numPr>
        <w:shd w:val="clear" w:color="auto" w:fill="auto"/>
        <w:kinsoku/>
        <w:wordWrap/>
        <w:overflowPunct/>
        <w:topLinePunct w:val="0"/>
        <w:autoSpaceDE/>
        <w:autoSpaceDN/>
        <w:bidi w:val="0"/>
        <w:adjustRightInd/>
        <w:snapToGrid/>
        <w:spacing w:line="360" w:lineRule="auto"/>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r>
        <w:rPr>
          <w:rFonts w:hint="eastAsia" w:ascii="仿宋_GB2312" w:hAnsi="仿宋_GB2312" w:eastAsia="仿宋_GB2312" w:cs="仿宋_GB2312"/>
          <w:b/>
          <w:color w:val="auto"/>
          <w:sz w:val="32"/>
          <w:szCs w:val="32"/>
          <w:highlight w:val="none"/>
          <w:lang w:val="en-US" w:eastAsia="zh-CN"/>
        </w:rPr>
        <w:t>七、服务承诺</w:t>
      </w: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numPr>
          <w:ilvl w:val="0"/>
          <w:numId w:val="0"/>
        </w:numPr>
        <w:shd w:val="clear" w:color="auto" w:fill="auto"/>
        <w:kinsoku/>
        <w:wordWrap/>
        <w:overflowPunct/>
        <w:topLinePunct w:val="0"/>
        <w:autoSpaceDE/>
        <w:autoSpaceDN/>
        <w:bidi w:val="0"/>
        <w:spacing w:line="560" w:lineRule="exact"/>
        <w:ind w:left="0" w:leftChars="0" w:right="0" w:firstLine="643" w:firstLineChars="200"/>
        <w:jc w:val="left"/>
        <w:textAlignment w:val="auto"/>
        <w:rPr>
          <w:rFonts w:hint="eastAsia" w:ascii="仿宋_GB2312" w:hAnsi="仿宋_GB2312" w:eastAsia="仿宋_GB2312" w:cs="仿宋_GB2312"/>
          <w:b/>
          <w:color w:val="auto"/>
          <w:sz w:val="32"/>
          <w:szCs w:val="32"/>
          <w:highlight w:val="none"/>
          <w:lang w:val="en-US" w:eastAsia="zh-CN"/>
        </w:rPr>
      </w:pPr>
    </w:p>
    <w:p>
      <w:pPr>
        <w:keepNext w:val="0"/>
        <w:keepLines/>
        <w:pageBreakBefore w:val="0"/>
        <w:widowControl/>
        <w:shd w:val="clear" w:color="auto" w:fill="auto"/>
        <w:kinsoku/>
        <w:wordWrap/>
        <w:overflowPunct/>
        <w:topLinePunct w:val="0"/>
        <w:autoSpaceDE/>
        <w:autoSpaceDN/>
        <w:bidi w:val="0"/>
        <w:adjustRightInd w:val="0"/>
        <w:snapToGrid w:val="0"/>
        <w:spacing w:line="560" w:lineRule="exact"/>
        <w:ind w:left="0" w:leftChars="0" w:right="0" w:firstLine="640" w:firstLineChars="200"/>
        <w:jc w:val="left"/>
        <w:textAlignment w:val="auto"/>
        <w:rPr>
          <w:rFonts w:hint="eastAsia" w:ascii="仿宋_GB2312" w:hAnsi="仿宋_GB2312" w:eastAsia="仿宋_GB2312" w:cs="仿宋_GB2312"/>
          <w:color w:val="auto"/>
          <w:sz w:val="32"/>
          <w:szCs w:val="32"/>
        </w:rPr>
        <w:sectPr>
          <w:footerReference r:id="rId4" w:type="default"/>
          <w:pgSz w:w="11906" w:h="16838"/>
          <w:pgMar w:top="851" w:right="1418" w:bottom="851" w:left="1418" w:header="851" w:footer="992" w:gutter="0"/>
          <w:pgNumType w:fmt="decimal"/>
          <w:cols w:space="720" w:num="1"/>
          <w:rtlGutter w:val="1"/>
          <w:docGrid w:linePitch="312" w:charSpace="0"/>
        </w:sectPr>
      </w:pPr>
    </w:p>
    <w:p>
      <w:pPr>
        <w:pStyle w:val="4"/>
        <w:keepNext w:val="0"/>
        <w:keepLines/>
        <w:pageBreakBefore w:val="0"/>
        <w:widowControl/>
        <w:shd w:val="clear" w:color="auto" w:fill="auto"/>
        <w:kinsoku/>
        <w:wordWrap/>
        <w:overflowPunct/>
        <w:topLinePunct w:val="0"/>
        <w:autoSpaceDE/>
        <w:autoSpaceDN/>
        <w:bidi w:val="0"/>
        <w:spacing w:line="560" w:lineRule="exact"/>
        <w:ind w:left="0" w:leftChars="0" w:right="0" w:firstLine="0" w:firstLineChars="0"/>
        <w:jc w:val="left"/>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rPr>
        <w:t>附件</w:t>
      </w: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rPr>
        <w:t>：</w:t>
      </w:r>
    </w:p>
    <w:p>
      <w:pPr>
        <w:keepNext w:val="0"/>
        <w:keepLines/>
        <w:pageBreakBefore w:val="0"/>
        <w:widowControl/>
        <w:shd w:val="clear" w:color="auto" w:fill="auto"/>
        <w:kinsoku/>
        <w:wordWrap/>
        <w:overflowPunct/>
        <w:topLinePunct w:val="0"/>
        <w:autoSpaceDE/>
        <w:autoSpaceDN/>
        <w:bidi w:val="0"/>
        <w:adjustRightInd/>
        <w:snapToGrid/>
        <w:spacing w:line="560" w:lineRule="exact"/>
        <w:ind w:left="0" w:leftChars="0" w:right="0" w:firstLine="643" w:firstLineChars="200"/>
        <w:jc w:val="center"/>
        <w:textAlignment w:val="auto"/>
        <w:rPr>
          <w:rFonts w:hint="eastAsia" w:ascii="仿宋_GB2312" w:hAnsi="仿宋_GB2312" w:eastAsia="仿宋_GB2312" w:cs="仿宋_GB2312"/>
          <w:b/>
          <w:bCs/>
          <w:color w:val="auto"/>
          <w:sz w:val="32"/>
          <w:szCs w:val="32"/>
          <w:highlight w:val="none"/>
          <w:lang w:val="en-US" w:eastAsia="zh-CN"/>
        </w:rPr>
      </w:pPr>
      <w:r>
        <w:rPr>
          <w:rFonts w:hint="eastAsia" w:ascii="仿宋_GB2312" w:hAnsi="仿宋_GB2312" w:eastAsia="仿宋_GB2312" w:cs="仿宋_GB2312"/>
          <w:b/>
          <w:bCs/>
          <w:color w:val="auto"/>
          <w:sz w:val="32"/>
          <w:szCs w:val="32"/>
          <w:highlight w:val="none"/>
          <w:lang w:val="en-US" w:eastAsia="zh-CN"/>
        </w:rPr>
        <w:t>赤峰市住房保障服务中心房源信息发布平台和存量房价格评估与发布系统运维项目合同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甲</w:t>
      </w:r>
      <w:r>
        <w:rPr>
          <w:rFonts w:hint="eastAsia" w:ascii="仿宋_GB2312" w:hAnsi="仿宋_GB2312" w:eastAsia="仿宋_GB2312" w:cs="仿宋_GB2312"/>
          <w:b w:val="0"/>
          <w:bCs/>
          <w:sz w:val="32"/>
          <w:szCs w:val="32"/>
        </w:rPr>
        <w:t>方:</w:t>
      </w:r>
      <w:r>
        <w:rPr>
          <w:rFonts w:hint="eastAsia" w:ascii="仿宋_GB2312" w:hAnsi="仿宋_GB2312" w:eastAsia="仿宋_GB2312" w:cs="仿宋_GB2312"/>
          <w:b w:val="0"/>
          <w:bCs/>
          <w:sz w:val="32"/>
          <w:szCs w:val="32"/>
          <w:lang w:eastAsia="zh-CN"/>
        </w:rPr>
        <w:t>赤峰市住房保障服务中心</w:t>
      </w:r>
      <w:r>
        <w:rPr>
          <w:rFonts w:hint="eastAsia" w:ascii="仿宋_GB2312" w:hAnsi="仿宋_GB2312" w:eastAsia="仿宋_GB2312" w:cs="仿宋_GB2312"/>
          <w:b w:val="0"/>
          <w:bCs/>
          <w:sz w:val="32"/>
          <w:szCs w:val="32"/>
        </w:rPr>
        <w:t>(以下简称“甲方”)</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乙</w:t>
      </w:r>
      <w:r>
        <w:rPr>
          <w:rFonts w:hint="eastAsia" w:ascii="仿宋_GB2312" w:hAnsi="仿宋_GB2312" w:eastAsia="仿宋_GB2312" w:cs="仿宋_GB2312"/>
          <w:b w:val="0"/>
          <w:bCs/>
          <w:sz w:val="32"/>
          <w:szCs w:val="32"/>
        </w:rPr>
        <w:t>方:</w:t>
      </w:r>
      <w:r>
        <w:rPr>
          <w:rFonts w:hint="eastAsia" w:ascii="仿宋_GB2312" w:hAnsi="仿宋_GB2312" w:eastAsia="仿宋_GB2312" w:cs="仿宋_GB2312"/>
          <w:b w:val="0"/>
          <w:bCs/>
          <w:sz w:val="32"/>
          <w:szCs w:val="32"/>
          <w:lang w:val="en-US" w:eastAsia="zh-CN"/>
        </w:rPr>
        <w:t xml:space="preserve">                      </w:t>
      </w:r>
      <w:r>
        <w:rPr>
          <w:rFonts w:hint="eastAsia" w:ascii="仿宋_GB2312" w:hAnsi="仿宋_GB2312" w:eastAsia="仿宋_GB2312" w:cs="仿宋_GB2312"/>
          <w:b w:val="0"/>
          <w:bCs/>
          <w:sz w:val="32"/>
          <w:szCs w:val="32"/>
        </w:rPr>
        <w:t>(以下简称“乙方”)</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民法典</w:t>
      </w:r>
      <w:r>
        <w:rPr>
          <w:rFonts w:hint="eastAsia" w:ascii="仿宋_GB2312" w:hAnsi="仿宋_GB2312" w:eastAsia="仿宋_GB2312" w:cs="仿宋_GB2312"/>
          <w:kern w:val="0"/>
          <w:sz w:val="32"/>
          <w:szCs w:val="32"/>
        </w:rPr>
        <w:t>》</w:t>
      </w:r>
      <w:r>
        <w:rPr>
          <w:rFonts w:hint="eastAsia" w:ascii="仿宋_GB2312" w:hAnsi="仿宋_GB2312" w:eastAsia="仿宋_GB2312" w:cs="仿宋_GB2312"/>
          <w:b w:val="0"/>
          <w:bCs/>
          <w:sz w:val="32"/>
          <w:szCs w:val="32"/>
        </w:rPr>
        <w:t>的相关规定，甲、乙双方经平等协商，在真实、充分地表达各自意愿的基础上，就乙方向甲方提供</w:t>
      </w:r>
      <w:r>
        <w:rPr>
          <w:rFonts w:hint="eastAsia" w:ascii="仿宋_GB2312" w:hAnsi="仿宋_GB2312" w:eastAsia="仿宋_GB2312" w:cs="仿宋_GB2312"/>
          <w:b w:val="0"/>
          <w:bCs/>
          <w:sz w:val="32"/>
          <w:szCs w:val="32"/>
          <w:lang w:eastAsia="zh-CN"/>
        </w:rPr>
        <w:t>《赤峰市住房保障服务中心</w:t>
      </w:r>
      <w:r>
        <w:rPr>
          <w:rFonts w:hint="eastAsia" w:ascii="仿宋_GB2312" w:hAnsi="仿宋_GB2312" w:eastAsia="仿宋_GB2312" w:cs="仿宋_GB2312"/>
          <w:b w:val="0"/>
          <w:bCs/>
          <w:sz w:val="32"/>
          <w:szCs w:val="32"/>
        </w:rPr>
        <w:t>房源信息发布平台和存量房价格评估与发布系统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软件</w:t>
      </w:r>
      <w:r>
        <w:rPr>
          <w:rFonts w:hint="eastAsia" w:ascii="仿宋_GB2312" w:hAnsi="仿宋_GB2312" w:eastAsia="仿宋_GB2312" w:cs="仿宋_GB2312"/>
          <w:b w:val="0"/>
          <w:bCs/>
          <w:sz w:val="32"/>
          <w:szCs w:val="32"/>
        </w:rPr>
        <w:t>运维服务事宜协商一致，特订立本合同。</w:t>
      </w:r>
    </w:p>
    <w:p>
      <w:pPr>
        <w:keepNext w:val="0"/>
        <w:keepLines w:val="0"/>
        <w:pageBreakBefore w:val="0"/>
        <w:numPr>
          <w:ilvl w:val="0"/>
          <w:numId w:val="4"/>
        </w:numPr>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服务项目</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乙方为甲方使用的</w:t>
      </w:r>
      <w:r>
        <w:rPr>
          <w:rFonts w:hint="eastAsia" w:ascii="仿宋_GB2312" w:hAnsi="仿宋_GB2312" w:eastAsia="仿宋_GB2312" w:cs="仿宋_GB2312"/>
          <w:b w:val="0"/>
          <w:bCs/>
          <w:sz w:val="32"/>
          <w:szCs w:val="32"/>
          <w:lang w:eastAsia="zh-CN"/>
        </w:rPr>
        <w:t>《赤峰市住房保障服务中心</w:t>
      </w:r>
      <w:r>
        <w:rPr>
          <w:rFonts w:hint="eastAsia" w:ascii="仿宋_GB2312" w:hAnsi="仿宋_GB2312" w:eastAsia="仿宋_GB2312" w:cs="仿宋_GB2312"/>
          <w:b w:val="0"/>
          <w:bCs/>
          <w:sz w:val="32"/>
          <w:szCs w:val="32"/>
        </w:rPr>
        <w:t>房源信息发布平台和存量房价格评估与发布系统</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软件提供运维服务</w:t>
      </w:r>
    </w:p>
    <w:p>
      <w:pPr>
        <w:keepNext w:val="0"/>
        <w:keepLines w:val="0"/>
        <w:pageBreakBefore w:val="0"/>
        <w:numPr>
          <w:ilvl w:val="0"/>
          <w:numId w:val="4"/>
        </w:numPr>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合同期限</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本合同期限为</w:t>
      </w:r>
      <w:r>
        <w:rPr>
          <w:rFonts w:hint="eastAsia" w:ascii="仿宋_GB2312" w:hAnsi="仿宋_GB2312" w:eastAsia="仿宋_GB2312" w:cs="仿宋_GB2312"/>
          <w:b w:val="0"/>
          <w:bCs/>
          <w:sz w:val="32"/>
          <w:szCs w:val="32"/>
          <w:u w:val="single"/>
          <w:lang w:val="en-US" w:eastAsia="zh-CN"/>
        </w:rPr>
        <w:t xml:space="preserve">十八个月 </w:t>
      </w:r>
      <w:r>
        <w:rPr>
          <w:rFonts w:hint="eastAsia" w:ascii="仿宋_GB2312" w:hAnsi="仿宋_GB2312" w:eastAsia="仿宋_GB2312" w:cs="仿宋_GB2312"/>
          <w:b w:val="0"/>
          <w:bCs/>
          <w:sz w:val="32"/>
          <w:szCs w:val="32"/>
        </w:rPr>
        <w:t>，自</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日起至</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rPr>
        <w:t>年</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u w:val="none"/>
        </w:rPr>
        <w:t>月</w:t>
      </w:r>
      <w:r>
        <w:rPr>
          <w:rFonts w:hint="eastAsia" w:ascii="仿宋_GB2312" w:hAnsi="仿宋_GB2312" w:eastAsia="仿宋_GB2312" w:cs="仿宋_GB2312"/>
          <w:b w:val="0"/>
          <w:bCs/>
          <w:sz w:val="32"/>
          <w:szCs w:val="32"/>
          <w:u w:val="single"/>
          <w:lang w:val="en-US" w:eastAsia="zh-CN"/>
        </w:rPr>
        <w:t xml:space="preserve">   </w:t>
      </w:r>
      <w:r>
        <w:rPr>
          <w:rFonts w:hint="eastAsia" w:ascii="仿宋_GB2312" w:hAnsi="仿宋_GB2312" w:eastAsia="仿宋_GB2312" w:cs="仿宋_GB2312"/>
          <w:b w:val="0"/>
          <w:bCs/>
          <w:sz w:val="32"/>
          <w:szCs w:val="32"/>
        </w:rPr>
        <w:t>日止。本合同期限届满后，若需继续委托乙方运行维护本合同系统软件的，由甲、乙双方协商一致后，另行订立合同。</w:t>
      </w:r>
    </w:p>
    <w:p>
      <w:pPr>
        <w:keepNext w:val="0"/>
        <w:keepLines w:val="0"/>
        <w:pageBreakBefore w:val="0"/>
        <w:numPr>
          <w:ilvl w:val="0"/>
          <w:numId w:val="4"/>
        </w:numPr>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服务内容、方式</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一</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服务内容</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1.系统日常运维服务，包括当不限于系统操作指导、因系统缺陷导致的各种BUG的修复、因操作失误导致的数据错误维护等。</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2.系统突发事件的诊断、排除</w:t>
      </w:r>
      <w:r>
        <w:rPr>
          <w:rFonts w:hint="eastAsia" w:ascii="仿宋_GB2312" w:hAnsi="仿宋_GB2312" w:eastAsia="仿宋_GB2312" w:cs="仿宋_GB2312"/>
          <w:b w:val="0"/>
          <w:bCs/>
          <w:sz w:val="32"/>
          <w:szCs w:val="32"/>
          <w:lang w:eastAsia="zh-CN"/>
        </w:rPr>
        <w:t>。</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3.因甲方业务发展需要</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乙方承诺在</w:t>
      </w:r>
      <w:r>
        <w:rPr>
          <w:rFonts w:hint="eastAsia" w:ascii="仿宋_GB2312" w:hAnsi="仿宋_GB2312" w:eastAsia="仿宋_GB2312" w:cs="仿宋_GB2312"/>
          <w:b w:val="0"/>
          <w:bCs/>
          <w:sz w:val="32"/>
          <w:szCs w:val="32"/>
          <w:lang w:val="en-US" w:eastAsia="zh-CN"/>
        </w:rPr>
        <w:t>软件运</w:t>
      </w:r>
      <w:r>
        <w:rPr>
          <w:rFonts w:hint="eastAsia" w:ascii="仿宋_GB2312" w:hAnsi="仿宋_GB2312" w:eastAsia="仿宋_GB2312" w:cs="仿宋_GB2312"/>
          <w:b w:val="0"/>
          <w:bCs/>
          <w:sz w:val="32"/>
          <w:szCs w:val="32"/>
        </w:rPr>
        <w:t>维期内对于系统小的优化或新增需求(2人月)提供免费服务。</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default"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4.因平台业务发展需求，与相关政务服务单位的各类数据接口开发。</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.本合同签订后,乙方须指定专人对甲方提出的本合同约定的系统软件各项相关技术问题进行解答，包括但不限于技术咨询、指导和信息提供等。</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5.本合同签订后,乙方应定期指派专人清理运维过程中所生成的生产数据库中的临时表，优化数据库，如建立并优化索引、优化存储过程数据库表拆分等，提供系统运行速度。</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.本合同签订后，乙方应定期撰写运维总结报告，重点描述和分析出现的技术问题和服务质量问题，并给出整改方案。</w:t>
      </w:r>
    </w:p>
    <w:p>
      <w:pPr>
        <w:keepNext w:val="0"/>
        <w:keepLines w:val="0"/>
        <w:pageBreakBefore w:val="0"/>
        <w:numPr>
          <w:ilvl w:val="0"/>
          <w:numId w:val="0"/>
        </w:numPr>
        <w:tabs>
          <w:tab w:val="center" w:pos="4153"/>
        </w:tabs>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sz w:val="32"/>
          <w:szCs w:val="32"/>
          <w:lang w:val="en-US" w:eastAsia="zh-CN"/>
        </w:rPr>
        <w:t>7.在合同期内对中心城区房地产市场进行1-2次调研评估，更新</w:t>
      </w:r>
      <w:r>
        <w:rPr>
          <w:rFonts w:hint="eastAsia" w:ascii="仿宋_GB2312" w:hAnsi="仿宋_GB2312" w:eastAsia="仿宋_GB2312" w:cs="仿宋_GB2312"/>
          <w:sz w:val="32"/>
          <w:szCs w:val="32"/>
        </w:rPr>
        <w:t>存量房价格评估</w:t>
      </w:r>
      <w:r>
        <w:rPr>
          <w:rFonts w:hint="eastAsia" w:ascii="仿宋_GB2312" w:hAnsi="仿宋_GB2312" w:eastAsia="仿宋_GB2312" w:cs="仿宋_GB2312"/>
          <w:sz w:val="32"/>
          <w:szCs w:val="32"/>
          <w:lang w:val="en-US" w:eastAsia="zh-CN"/>
        </w:rPr>
        <w:t>相关指标，保证存量房评估价格合理性。</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(二)运维服务形式</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现场技术服务,即本合同约定的系统软件出现重大故障导致甲方业务中止时，乙方收到甲方通知后应立即指派技术人员到达现场，与甲方技术、业务人员一起对故障进行分析，提出解决方案，在征得甲方同意后对故障进行处理和排除。</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2.远程维护，即甲方出现系统故障时，乙方通过电话、电子邮件、或远程访问等方式进行系统故障的处理、技术支持、咨询服务等工</w:t>
      </w:r>
      <w:r>
        <w:rPr>
          <w:rFonts w:hint="eastAsia" w:ascii="仿宋_GB2312" w:hAnsi="仿宋_GB2312" w:eastAsia="仿宋_GB2312" w:cs="仿宋_GB2312"/>
          <w:b w:val="0"/>
          <w:bCs/>
          <w:sz w:val="32"/>
          <w:szCs w:val="32"/>
          <w:lang w:val="en-US" w:eastAsia="zh-CN"/>
        </w:rPr>
        <w:t>作</w:t>
      </w:r>
      <w:r>
        <w:rPr>
          <w:rFonts w:hint="eastAsia" w:ascii="仿宋_GB2312" w:hAnsi="仿宋_GB2312" w:eastAsia="仿宋_GB2312" w:cs="仿宋_GB2312"/>
          <w:b w:val="0"/>
          <w:bCs/>
          <w:sz w:val="32"/>
          <w:szCs w:val="32"/>
          <w:lang w:eastAsia="zh-CN"/>
        </w:rPr>
        <w:t>。</w:t>
      </w:r>
    </w:p>
    <w:p>
      <w:pPr>
        <w:keepNext w:val="0"/>
        <w:keepLines w:val="0"/>
        <w:pageBreakBefore w:val="0"/>
        <w:kinsoku/>
        <w:wordWrap/>
        <w:overflowPunct/>
        <w:topLinePunct w:val="0"/>
        <w:autoSpaceDE/>
        <w:autoSpaceDN/>
        <w:bidi w:val="0"/>
        <w:adjustRightInd/>
        <w:snapToGrid w:val="0"/>
        <w:spacing w:line="360" w:lineRule="auto"/>
        <w:ind w:firstLine="640" w:firstLineChars="20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支持服务联络表</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75"/>
        <w:gridCol w:w="1648"/>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675"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工程师</w:t>
            </w:r>
          </w:p>
        </w:tc>
        <w:tc>
          <w:tcPr>
            <w:tcW w:w="1648"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方式</w:t>
            </w:r>
          </w:p>
        </w:tc>
        <w:tc>
          <w:tcPr>
            <w:tcW w:w="3776" w:type="dxa"/>
            <w:shd w:val="clear" w:color="auto" w:fill="auto"/>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移动电话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2675"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p>
        </w:tc>
        <w:tc>
          <w:tcPr>
            <w:tcW w:w="1648"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eastAsia="zh-CN"/>
              </w:rPr>
            </w:pPr>
          </w:p>
        </w:tc>
        <w:tc>
          <w:tcPr>
            <w:tcW w:w="3776"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675"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eastAsia="zh-CN"/>
              </w:rPr>
            </w:pPr>
          </w:p>
        </w:tc>
        <w:tc>
          <w:tcPr>
            <w:tcW w:w="1648"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eastAsia="zh-CN"/>
              </w:rPr>
            </w:pPr>
          </w:p>
        </w:tc>
        <w:tc>
          <w:tcPr>
            <w:tcW w:w="3776" w:type="dxa"/>
          </w:tcPr>
          <w:p>
            <w:pPr>
              <w:keepNext w:val="0"/>
              <w:keepLines w:val="0"/>
              <w:pageBreakBefore w:val="0"/>
              <w:widowControl w:val="0"/>
              <w:kinsoku/>
              <w:wordWrap/>
              <w:overflowPunct/>
              <w:topLinePunct w:val="0"/>
              <w:autoSpaceDE/>
              <w:autoSpaceDN/>
              <w:bidi w:val="0"/>
              <w:adjustRightInd/>
              <w:snapToGrid w:val="0"/>
              <w:spacing w:line="360" w:lineRule="auto"/>
              <w:ind w:firstLine="0" w:firstLineChars="0"/>
              <w:jc w:val="center"/>
              <w:textAlignment w:val="auto"/>
              <w:rPr>
                <w:rFonts w:hint="eastAsia" w:ascii="仿宋_GB2312" w:hAnsi="仿宋_GB2312" w:eastAsia="仿宋_GB2312" w:cs="仿宋_GB2312"/>
                <w:color w:val="auto"/>
                <w:sz w:val="32"/>
                <w:szCs w:val="32"/>
                <w:highlight w:val="none"/>
                <w:lang w:val="en-US" w:eastAsia="zh-CN"/>
              </w:rPr>
            </w:pPr>
          </w:p>
        </w:tc>
      </w:tr>
    </w:tbl>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3.本合同期限内，乙方可根据甲方业务需要，在现场对甲方的业务人员进行系统运行管理、日常维护、使用操作等方面的培训。</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(三)运维服务要求</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1.本合同签订后，对于甲方提出的任何运维服务，乙方工作人员需严格填写运维服务记录单，并由甲、乙双方签字认可。</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2.乙方应保证指派经验丰富的运维工程师来具体承担运维服务工作服务人员应保证相对固定，若有变动，乙方须提前三日通知甲方并征得甲方同意。</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3.乙方为甲方提供电话技术支持服务要求为365天</w:t>
      </w:r>
      <w:r>
        <w:rPr>
          <w:rFonts w:hint="eastAsia" w:ascii="仿宋_GB2312" w:hAnsi="仿宋_GB2312" w:eastAsia="仿宋_GB2312" w:cs="仿宋_GB2312"/>
          <w:b w:val="0"/>
          <w:bCs/>
          <w:sz w:val="32"/>
          <w:szCs w:val="32"/>
          <w:lang w:val="en-US" w:eastAsia="zh-CN"/>
        </w:rPr>
        <w:t>X</w:t>
      </w:r>
      <w:r>
        <w:rPr>
          <w:rFonts w:hint="eastAsia" w:ascii="仿宋_GB2312" w:hAnsi="仿宋_GB2312" w:eastAsia="仿宋_GB2312" w:cs="仿宋_GB2312"/>
          <w:b w:val="0"/>
          <w:bCs/>
          <w:sz w:val="32"/>
          <w:szCs w:val="32"/>
        </w:rPr>
        <w:t>24小时。</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sz w:val="32"/>
          <w:szCs w:val="32"/>
        </w:rPr>
        <w:t>4.运维响应:工作日运维服务响应时间应在</w:t>
      </w: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小时以内，非工作日运维响应时间应在</w:t>
      </w:r>
      <w:r>
        <w:rPr>
          <w:rFonts w:hint="eastAsia" w:ascii="仿宋_GB2312" w:hAnsi="仿宋_GB2312" w:eastAsia="仿宋_GB2312" w:cs="仿宋_GB2312"/>
          <w:b w:val="0"/>
          <w:bCs/>
          <w:sz w:val="32"/>
          <w:szCs w:val="32"/>
          <w:lang w:val="en-US" w:eastAsia="zh-CN"/>
        </w:rPr>
        <w:t>6</w:t>
      </w:r>
      <w:r>
        <w:rPr>
          <w:rFonts w:hint="eastAsia" w:ascii="仿宋_GB2312" w:hAnsi="仿宋_GB2312" w:eastAsia="仿宋_GB2312" w:cs="仿宋_GB2312"/>
          <w:b w:val="0"/>
          <w:bCs/>
          <w:sz w:val="32"/>
          <w:szCs w:val="32"/>
        </w:rPr>
        <w:t>小时以内;若需乙方指派专人现场进行运维服务的乙方应在接到甲方运维服务通知后</w:t>
      </w:r>
      <w:r>
        <w:rPr>
          <w:rFonts w:hint="eastAsia" w:ascii="仿宋_GB2312" w:hAnsi="仿宋_GB2312" w:eastAsia="仿宋_GB2312" w:cs="仿宋_GB2312"/>
          <w:b w:val="0"/>
          <w:bCs/>
          <w:sz w:val="32"/>
          <w:szCs w:val="32"/>
          <w:lang w:val="en-US" w:eastAsia="zh-CN"/>
        </w:rPr>
        <w:t>12</w:t>
      </w:r>
      <w:r>
        <w:rPr>
          <w:rFonts w:hint="eastAsia" w:ascii="仿宋_GB2312" w:hAnsi="仿宋_GB2312" w:eastAsia="仿宋_GB2312" w:cs="仿宋_GB2312"/>
          <w:b w:val="0"/>
          <w:bCs/>
          <w:sz w:val="32"/>
          <w:szCs w:val="32"/>
        </w:rPr>
        <w:t>小时内赶到甲方现场。</w:t>
      </w:r>
      <w:r>
        <w:rPr>
          <w:rFonts w:hint="eastAsia" w:ascii="仿宋_GB2312" w:hAnsi="仿宋_GB2312" w:eastAsia="仿宋_GB2312" w:cs="仿宋_GB2312"/>
          <w:sz w:val="32"/>
          <w:szCs w:val="32"/>
        </w:rPr>
        <w:t>要求所派技术人员受过专业培训，具备相应技术能力及职业操守。</w:t>
      </w:r>
    </w:p>
    <w:p>
      <w:pPr>
        <w:keepNext w:val="0"/>
        <w:keepLines w:val="0"/>
        <w:pageBreakBefore w:val="0"/>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 xml:space="preserve">第四条 </w:t>
      </w:r>
      <w:r>
        <w:rPr>
          <w:rFonts w:hint="eastAsia" w:ascii="仿宋_GB2312" w:hAnsi="仿宋_GB2312" w:eastAsia="仿宋_GB2312" w:cs="仿宋_GB2312"/>
          <w:b/>
          <w:bCs w:val="0"/>
          <w:kern w:val="0"/>
          <w:sz w:val="32"/>
          <w:szCs w:val="32"/>
        </w:rPr>
        <w:t>合同金额及付款方式</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sz w:val="32"/>
          <w:szCs w:val="32"/>
        </w:rPr>
        <w:t>(一)</w:t>
      </w:r>
      <w:r>
        <w:rPr>
          <w:rFonts w:hint="eastAsia" w:ascii="仿宋_GB2312" w:hAnsi="仿宋_GB2312" w:eastAsia="仿宋_GB2312" w:cs="仿宋_GB2312"/>
          <w:kern w:val="0"/>
          <w:sz w:val="32"/>
          <w:szCs w:val="32"/>
        </w:rPr>
        <w:t>合同款总额：</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大写：</w:t>
      </w:r>
      <w:r>
        <w:rPr>
          <w:rFonts w:hint="eastAsia" w:ascii="仿宋_GB2312" w:hAnsi="仿宋_GB2312" w:eastAsia="仿宋_GB2312" w:cs="仿宋_GB2312"/>
          <w:kern w:val="0"/>
          <w:sz w:val="32"/>
          <w:szCs w:val="32"/>
          <w:u w:val="single"/>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小写：</w:t>
      </w:r>
      <w:r>
        <w:rPr>
          <w:rFonts w:hint="eastAsia" w:ascii="仿宋_GB2312" w:hAnsi="仿宋_GB2312" w:eastAsia="仿宋_GB2312" w:cs="仿宋_GB2312"/>
          <w:b/>
          <w:sz w:val="32"/>
          <w:szCs w:val="32"/>
          <w:u w:val="single"/>
          <w:lang w:val="en-US" w:eastAsia="zh-CN"/>
        </w:rPr>
        <w:t xml:space="preserve">                </w:t>
      </w:r>
      <w:r>
        <w:rPr>
          <w:rFonts w:hint="eastAsia" w:ascii="仿宋_GB2312" w:hAnsi="仿宋_GB2312" w:eastAsia="仿宋_GB2312" w:cs="仿宋_GB2312"/>
          <w:kern w:val="0"/>
          <w:sz w:val="32"/>
          <w:szCs w:val="32"/>
        </w:rPr>
        <w:t>。</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该费用已包括乙方履行本合同全部报酬和所需的全部费用。</w:t>
      </w:r>
      <w:r>
        <w:rPr>
          <w:rFonts w:hint="eastAsia" w:ascii="仿宋_GB2312" w:hAnsi="仿宋_GB2312" w:eastAsia="仿宋_GB2312" w:cs="仿宋_GB2312"/>
          <w:b w:val="0"/>
          <w:bCs/>
          <w:sz w:val="32"/>
          <w:szCs w:val="32"/>
        </w:rPr>
        <w:t>若超出本合同第三条第(一)款</w:t>
      </w:r>
      <w:r>
        <w:rPr>
          <w:rFonts w:hint="eastAsia" w:ascii="仿宋_GB2312" w:hAnsi="仿宋_GB2312" w:eastAsia="仿宋_GB2312" w:cs="仿宋_GB2312"/>
          <w:b w:val="0"/>
          <w:bCs/>
          <w:sz w:val="32"/>
          <w:szCs w:val="32"/>
          <w:lang w:val="en-US" w:eastAsia="zh-CN"/>
        </w:rPr>
        <w:t>3中</w:t>
      </w:r>
      <w:r>
        <w:rPr>
          <w:rFonts w:hint="eastAsia" w:ascii="仿宋_GB2312" w:hAnsi="仿宋_GB2312" w:eastAsia="仿宋_GB2312" w:cs="仿宋_GB2312"/>
          <w:b w:val="0"/>
          <w:bCs/>
          <w:sz w:val="32"/>
          <w:szCs w:val="32"/>
        </w:rPr>
        <w:t>约定的服务内容，需增加服务费用的，由甲、乙双方另行协商后签订补充协议。</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(二)支付时间:</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甲方须于</w:t>
      </w:r>
      <w:r>
        <w:rPr>
          <w:rFonts w:hint="eastAsia" w:ascii="仿宋_GB2312" w:hAnsi="仿宋_GB2312" w:eastAsia="仿宋_GB2312" w:cs="仿宋_GB2312"/>
          <w:b w:val="0"/>
          <w:bCs/>
          <w:sz w:val="32"/>
          <w:szCs w:val="32"/>
          <w:lang w:val="en-US" w:eastAsia="zh-CN"/>
        </w:rPr>
        <w:t>本合同签订之日起，7个工作日内向财政申请拨付</w:t>
      </w:r>
      <w:r>
        <w:rPr>
          <w:rFonts w:hint="eastAsia" w:ascii="仿宋_GB2312" w:hAnsi="仿宋_GB2312" w:eastAsia="仿宋_GB2312" w:cs="仿宋_GB2312"/>
          <w:b w:val="0"/>
          <w:bCs/>
          <w:sz w:val="32"/>
          <w:szCs w:val="32"/>
        </w:rPr>
        <w:t>乙方系统软件运行维护费。</w:t>
      </w:r>
    </w:p>
    <w:p>
      <w:pPr>
        <w:keepNext w:val="0"/>
        <w:keepLines w:val="0"/>
        <w:pageBreakBefore w:val="0"/>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(三)支付方式:甲方支付系统软件运行维护服务费用前，乙方应向甲方提供正规等额增值税</w:t>
      </w:r>
      <w:r>
        <w:rPr>
          <w:rFonts w:hint="eastAsia" w:ascii="仿宋_GB2312" w:hAnsi="仿宋_GB2312" w:eastAsia="仿宋_GB2312" w:cs="仿宋_GB2312"/>
          <w:b w:val="0"/>
          <w:bCs/>
          <w:sz w:val="32"/>
          <w:szCs w:val="32"/>
          <w:lang w:val="en-US" w:eastAsia="zh-CN"/>
        </w:rPr>
        <w:t>普通</w:t>
      </w:r>
      <w:r>
        <w:rPr>
          <w:rFonts w:hint="eastAsia" w:ascii="仿宋_GB2312" w:hAnsi="仿宋_GB2312" w:eastAsia="仿宋_GB2312" w:cs="仿宋_GB2312"/>
          <w:b w:val="0"/>
          <w:bCs/>
          <w:sz w:val="32"/>
          <w:szCs w:val="32"/>
        </w:rPr>
        <w:t>发票;甲方在收到增值税</w:t>
      </w:r>
      <w:r>
        <w:rPr>
          <w:rFonts w:hint="eastAsia" w:ascii="仿宋_GB2312" w:hAnsi="仿宋_GB2312" w:eastAsia="仿宋_GB2312" w:cs="仿宋_GB2312"/>
          <w:b w:val="0"/>
          <w:bCs/>
          <w:sz w:val="32"/>
          <w:szCs w:val="32"/>
          <w:lang w:val="en-US" w:eastAsia="zh-CN"/>
        </w:rPr>
        <w:t>普通</w:t>
      </w:r>
      <w:r>
        <w:rPr>
          <w:rFonts w:hint="eastAsia" w:ascii="仿宋_GB2312" w:hAnsi="仿宋_GB2312" w:eastAsia="仿宋_GB2312" w:cs="仿宋_GB2312"/>
          <w:b w:val="0"/>
          <w:bCs/>
          <w:sz w:val="32"/>
          <w:szCs w:val="32"/>
        </w:rPr>
        <w:t>发票后通过银行转账的方式向乙方在本合同指定的银行账号支付本合同约定的系统软件运行维护费。</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lang w:val="en-US" w:eastAsia="zh-CN"/>
        </w:rPr>
        <w:t>四</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甲方增值税</w:t>
      </w:r>
      <w:r>
        <w:rPr>
          <w:rFonts w:hint="eastAsia" w:ascii="仿宋_GB2312" w:hAnsi="仿宋_GB2312" w:eastAsia="仿宋_GB2312" w:cs="仿宋_GB2312"/>
          <w:b w:val="0"/>
          <w:bCs/>
          <w:sz w:val="32"/>
          <w:szCs w:val="32"/>
          <w:lang w:val="en-US" w:eastAsia="zh-CN"/>
        </w:rPr>
        <w:t>普通</w:t>
      </w:r>
      <w:r>
        <w:rPr>
          <w:rFonts w:hint="eastAsia" w:ascii="仿宋_GB2312" w:hAnsi="仿宋_GB2312" w:eastAsia="仿宋_GB2312" w:cs="仿宋_GB2312"/>
          <w:b w:val="0"/>
          <w:bCs/>
          <w:sz w:val="32"/>
          <w:szCs w:val="32"/>
        </w:rPr>
        <w:t>发票账号</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单位地址</w:t>
      </w:r>
      <w:r>
        <w:rPr>
          <w:rFonts w:hint="eastAsia" w:ascii="仿宋_GB2312" w:hAnsi="仿宋_GB2312" w:eastAsia="仿宋_GB2312" w:cs="仿宋_GB2312"/>
          <w:b w:val="0"/>
          <w:bCs/>
          <w:sz w:val="32"/>
          <w:szCs w:val="32"/>
        </w:rPr>
        <w:t>:赤峰市松山区玉龙大街市建委办公楼4层</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kern w:val="0"/>
          <w:sz w:val="32"/>
          <w:szCs w:val="32"/>
        </w:rPr>
        <w:t>纳税人识别号：</w:t>
      </w:r>
      <w:r>
        <w:rPr>
          <w:rFonts w:hint="eastAsia" w:ascii="仿宋_GB2312" w:hAnsi="仿宋_GB2312" w:eastAsia="仿宋_GB2312" w:cs="仿宋_GB2312"/>
          <w:kern w:val="0"/>
          <w:sz w:val="32"/>
          <w:szCs w:val="32"/>
          <w:lang w:val="en-US" w:eastAsia="zh-CN"/>
        </w:rPr>
        <w:t>12150400793615610U</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rPr>
        <w:t>开户银行</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建行赤峰市松山区新华路支行</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rPr>
        <w:t>开户账号</w:t>
      </w:r>
      <w:r>
        <w:rPr>
          <w:rFonts w:hint="eastAsia"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lang w:val="en-US" w:eastAsia="zh-CN"/>
        </w:rPr>
        <w:t>15001646644052501373</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(五)乙方指定的银行账户</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1.</w:t>
      </w:r>
      <w:r>
        <w:rPr>
          <w:rFonts w:hint="eastAsia" w:ascii="仿宋_GB2312" w:hAnsi="仿宋_GB2312" w:eastAsia="仿宋_GB2312" w:cs="仿宋_GB2312"/>
          <w:b w:val="0"/>
          <w:bCs/>
          <w:sz w:val="32"/>
          <w:szCs w:val="32"/>
        </w:rPr>
        <w:t>名称：</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kern w:val="0"/>
          <w:sz w:val="32"/>
          <w:szCs w:val="32"/>
        </w:rPr>
        <w:t>纳税人识别号：</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单位地址：</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rPr>
        <w:t>开户银行</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val="0"/>
          <w:bCs/>
          <w:sz w:val="32"/>
          <w:szCs w:val="32"/>
          <w:lang w:val="en-US" w:eastAsia="zh-CN"/>
        </w:rPr>
        <w:t>5</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rPr>
        <w:t>开户账号</w:t>
      </w:r>
      <w:r>
        <w:rPr>
          <w:rFonts w:hint="eastAsia" w:ascii="仿宋_GB2312" w:hAnsi="仿宋_GB2312" w:eastAsia="仿宋_GB2312" w:cs="仿宋_GB2312"/>
          <w:b w:val="0"/>
          <w:bCs/>
          <w:sz w:val="32"/>
          <w:szCs w:val="32"/>
        </w:rPr>
        <w:t>:</w:t>
      </w:r>
      <w:r>
        <w:rPr>
          <w:rFonts w:hint="eastAsia" w:ascii="仿宋_GB2312" w:hAnsi="仿宋_GB2312" w:eastAsia="仿宋_GB2312" w:cs="仿宋_GB2312"/>
          <w:kern w:val="0"/>
          <w:sz w:val="32"/>
          <w:szCs w:val="32"/>
          <w:lang w:val="en-US" w:eastAsia="zh-CN"/>
        </w:rPr>
        <w:t xml:space="preserve"> </w:t>
      </w:r>
    </w:p>
    <w:p>
      <w:pPr>
        <w:keepNext w:val="0"/>
        <w:keepLines w:val="0"/>
        <w:pageBreakBefore w:val="0"/>
        <w:numPr>
          <w:ilvl w:val="0"/>
          <w:numId w:val="0"/>
        </w:numPr>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第五条 双方权利义务</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(一)甲方权利义务</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1.本合同签订前,甲方有权要求乙方对本合同系统软件运维服务的费用、服务内容、服务方式等进行详细说明。</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2.本合同签订前,甲方应明确向乙方提供系统软件配置应具备的详细表单、流程数据等系统软件运维服务需求。</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3.本合同签订后,甲方运行系统软件的电脑硬件设备及操作系统由甲方自行解决。乙方不会替甲方的电脑平台提供升级或维护，并不会为甲方其它软件版权等事宜负任何责任。</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4.甲方应按照本合同第四条第(二)款约定的支付时间，及时向乙方支付本合同相应的服务费。</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(二)乙方权利义务</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1.本合同期限内，乙方应及时、有效地完成系统软件运维服务工作。</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2</w:t>
      </w:r>
      <w:r>
        <w:rPr>
          <w:rFonts w:hint="eastAsia" w:ascii="仿宋_GB2312" w:hAnsi="仿宋_GB2312" w:eastAsia="仿宋_GB2312" w:cs="仿宋_GB2312"/>
          <w:b w:val="0"/>
          <w:bCs/>
          <w:sz w:val="32"/>
          <w:szCs w:val="32"/>
        </w:rPr>
        <w:t>.本合同期限内，若系统软件版本更新，乙方应免费为甲方提供系统升级服务。</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3</w:t>
      </w:r>
      <w:r>
        <w:rPr>
          <w:rFonts w:hint="eastAsia" w:ascii="仿宋_GB2312" w:hAnsi="仿宋_GB2312" w:eastAsia="仿宋_GB2312" w:cs="仿宋_GB2312"/>
          <w:b w:val="0"/>
          <w:bCs/>
          <w:sz w:val="32"/>
          <w:szCs w:val="32"/>
        </w:rPr>
        <w:t>.本合同期限内，乙方未经甲方书面同意，不得将本合同项下的服务工作转让给任一第三方。</w:t>
      </w:r>
    </w:p>
    <w:p>
      <w:pPr>
        <w:keepNext w:val="0"/>
        <w:keepLines w:val="0"/>
        <w:pageBreakBefore w:val="0"/>
        <w:numPr>
          <w:ilvl w:val="0"/>
          <w:numId w:val="0"/>
        </w:numPr>
        <w:kinsoku/>
        <w:wordWrap/>
        <w:overflowPunct/>
        <w:topLinePunct w:val="0"/>
        <w:autoSpaceDE/>
        <w:autoSpaceDN/>
        <w:bidi w:val="0"/>
        <w:adjustRightInd/>
        <w:spacing w:line="360" w:lineRule="auto"/>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eastAsia" w:ascii="仿宋_GB2312" w:hAnsi="仿宋_GB2312" w:eastAsia="仿宋_GB2312" w:cs="仿宋_GB2312"/>
          <w:b w:val="0"/>
          <w:bCs/>
          <w:sz w:val="32"/>
          <w:szCs w:val="32"/>
        </w:rPr>
        <w:t>.本合同期限内，乙方应定期对本合同项下的系统软件进行检查，保证系统软件能够运行顺畅。</w:t>
      </w:r>
    </w:p>
    <w:p>
      <w:pPr>
        <w:keepNext w:val="0"/>
        <w:keepLines w:val="0"/>
        <w:pageBreakBefore w:val="0"/>
        <w:numPr>
          <w:ilvl w:val="0"/>
          <w:numId w:val="0"/>
        </w:numPr>
        <w:kinsoku/>
        <w:wordWrap/>
        <w:overflowPunct/>
        <w:topLinePunct w:val="0"/>
        <w:autoSpaceDE/>
        <w:autoSpaceDN/>
        <w:bidi w:val="0"/>
        <w:adjustRightInd/>
        <w:spacing w:line="360" w:lineRule="auto"/>
        <w:ind w:firstLine="643" w:firstLineChars="200"/>
        <w:textAlignment w:val="auto"/>
        <w:rPr>
          <w:rFonts w:hint="eastAsia" w:ascii="仿宋_GB2312" w:hAnsi="仿宋_GB2312" w:eastAsia="仿宋_GB2312" w:cs="仿宋_GB2312"/>
          <w:b/>
          <w:bCs w:val="0"/>
          <w:sz w:val="32"/>
          <w:szCs w:val="32"/>
        </w:rPr>
      </w:pPr>
      <w:r>
        <w:rPr>
          <w:rFonts w:hint="eastAsia" w:ascii="仿宋_GB2312" w:hAnsi="仿宋_GB2312" w:eastAsia="仿宋_GB2312" w:cs="仿宋_GB2312"/>
          <w:b/>
          <w:bCs w:val="0"/>
          <w:sz w:val="32"/>
          <w:szCs w:val="32"/>
        </w:rPr>
        <w:t>第六条 系统功能修改、增加</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本合同签订后，甲方在使用本合同项下的系统软件过程中，如需要增加若超出本合同第三条第(一)款</w:t>
      </w:r>
      <w:r>
        <w:rPr>
          <w:rFonts w:hint="eastAsia" w:ascii="仿宋_GB2312" w:hAnsi="仿宋_GB2312" w:eastAsia="仿宋_GB2312" w:cs="仿宋_GB2312"/>
          <w:b w:val="0"/>
          <w:bCs/>
          <w:sz w:val="32"/>
          <w:szCs w:val="32"/>
          <w:lang w:val="en-US" w:eastAsia="zh-CN"/>
        </w:rPr>
        <w:t>3中</w:t>
      </w:r>
      <w:r>
        <w:rPr>
          <w:rFonts w:hint="eastAsia" w:ascii="仿宋_GB2312" w:hAnsi="仿宋_GB2312" w:eastAsia="仿宋_GB2312" w:cs="仿宋_GB2312"/>
          <w:b w:val="0"/>
          <w:bCs/>
          <w:sz w:val="32"/>
          <w:szCs w:val="32"/>
        </w:rPr>
        <w:t>约定的服务内容，需增加服务费用的，由甲、乙双方另行协商后签订补充协议。若属系统软件本身配置问题，乙方免费为甲方修正。</w:t>
      </w:r>
    </w:p>
    <w:p>
      <w:pPr>
        <w:keepNext w:val="0"/>
        <w:keepLines w:val="0"/>
        <w:pageBreakBefore w:val="0"/>
        <w:widowControl/>
        <w:tabs>
          <w:tab w:val="left" w:pos="5670"/>
        </w:tabs>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val="0"/>
          <w:sz w:val="32"/>
          <w:szCs w:val="32"/>
        </w:rPr>
        <w:t xml:space="preserve">第七条 </w:t>
      </w:r>
      <w:r>
        <w:rPr>
          <w:rFonts w:hint="eastAsia" w:ascii="仿宋_GB2312" w:hAnsi="仿宋_GB2312" w:eastAsia="仿宋_GB2312" w:cs="仿宋_GB2312"/>
          <w:b/>
          <w:bCs w:val="0"/>
          <w:kern w:val="0"/>
          <w:sz w:val="32"/>
          <w:szCs w:val="32"/>
        </w:rPr>
        <w:t>保密</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保密信息。合同中的“保密信息”是指乙方在本项目的开发建设、运维等工作中所获悉的下列信息：</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甲方所属或使用的软件系统的设计细节、程序文件、数据结构、业务数据、源代码等。</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甲方当前单位总体情况、基础设施建设情况、业务应用系统建设等现状、存在问题及发展需要、以及包括需求、系统架构、基础设施、应用功能、信息资源、信息安全、应用部署、运行保障及服务实施方面等方面信息。</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甲方或其上下级系统的业务数据和资料。</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以上信息均包含同类电子文档信息。</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rPr>
        <w:t>乙方对甲方所提供的所有资料以及在合同签订、履行过程中所接触到的甲方及其关联单位的办公或秘密、技术资料、人员信息等资料和涉及的保密信息（统称“保密资料”）负有保密义务。</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未经甲方书面许可，乙方不得向任何第三方披露，不得将专属于甲方的保密资料部分或全部用于本合同约定事项以外的其他用途。</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乙方有义务对保密资料采取不低于对其本身秘密所采取的保护手段予以保护。乙方可仅为本合同目的向其内部有知悉保密资料必要的雇员披露保密资料，但同时须指示其雇员遵守本条规定的保密及不披露义务。</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乙方不得对外提供甲方项目中涉及甲方明确为保密信息的文档、数据、设计方案等文件。</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乙方应告知并督促其有关工作人员履行本协议规定的保密义务。</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本条所称乙方有关工作人员包括乙方派往甲方指定现场的工作人员、乙方参与本项目的工作人员以及其他知悉保密信息的乙方工作人员。</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乙方仅可为履行本合同之目的对保密资料进行复制。</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乙方不得以任何方式（如软硬盘、图纸、彩样、照片、菲林、光盘、U盘等）留存保密资料。</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乙方应当在完成合同事项或合同终止或解除时将保密资料原件全部返还甲方，并销毁所有复印件。</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乙方应当妥善保管保密资料，并承诺仅使用于与完成本合同项下项目开发建设服务及维护服务有关的用途或目的。一经甲方提出要求, 乙方应按照甲方的指示在收到甲方的书面通知后1日内将收到的所有保密资料归还甲方。如保密资料在乙方期间发生被盗、泄露或其他有损保密资料保密性的事件，乙方应承担全部责任，由此造成甲方损失的，乙方应负责赔偿。</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本合同项下约定的保密期限为长期，在本合同有效期间及本合同终止或解除后未经甲方书面同意，乙方不得对外披露。</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乙方须与甲方签订《保密协议》。</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val="en-US" w:eastAsia="zh-CN"/>
        </w:rPr>
        <w:t xml:space="preserve">第八条 </w:t>
      </w:r>
      <w:r>
        <w:rPr>
          <w:rFonts w:hint="eastAsia" w:ascii="仿宋_GB2312" w:hAnsi="仿宋_GB2312" w:eastAsia="仿宋_GB2312" w:cs="仿宋_GB2312"/>
          <w:b/>
          <w:kern w:val="0"/>
          <w:sz w:val="32"/>
          <w:szCs w:val="32"/>
        </w:rPr>
        <w:t>不可抗力</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不可抗力指不能预见、不能避免并不能克服的客观情况。</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因不可抗力不能履行合同的，根据不可抗力的影响，部分或者全部免除责任，但法律另有规定的除外。</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一方因不可抗力不能履行合同的，应当及时通知对方，以减轻可能给对方造成的损失，并应当在合理期限内提供证明。</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lang w:val="en-US" w:eastAsia="zh-CN"/>
        </w:rPr>
        <w:t xml:space="preserve">第九条 </w:t>
      </w:r>
      <w:r>
        <w:rPr>
          <w:rFonts w:hint="eastAsia" w:ascii="仿宋_GB2312" w:hAnsi="仿宋_GB2312" w:eastAsia="仿宋_GB2312" w:cs="仿宋_GB2312"/>
          <w:b/>
          <w:bCs/>
          <w:kern w:val="0"/>
          <w:sz w:val="32"/>
          <w:szCs w:val="32"/>
        </w:rPr>
        <w:t>违约责任</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b w:val="0"/>
          <w:bCs w:val="0"/>
          <w:kern w:val="0"/>
          <w:sz w:val="32"/>
          <w:szCs w:val="32"/>
          <w:lang w:val="en-US" w:eastAsia="zh-CN"/>
        </w:rPr>
        <w:t>一</w:t>
      </w:r>
      <w:r>
        <w:rPr>
          <w:rFonts w:hint="eastAsia" w:ascii="仿宋_GB2312" w:hAnsi="仿宋_GB2312" w:eastAsia="仿宋_GB2312" w:cs="仿宋_GB2312"/>
          <w:b w:val="0"/>
          <w:bCs w:val="0"/>
          <w:kern w:val="0"/>
          <w:sz w:val="32"/>
          <w:szCs w:val="32"/>
          <w:lang w:eastAsia="zh-CN"/>
        </w:rPr>
        <w:t>）</w:t>
      </w:r>
      <w:r>
        <w:rPr>
          <w:rFonts w:hint="eastAsia" w:ascii="仿宋_GB2312" w:hAnsi="仿宋_GB2312" w:eastAsia="仿宋_GB2312" w:cs="仿宋_GB2312"/>
          <w:kern w:val="0"/>
          <w:sz w:val="32"/>
          <w:szCs w:val="32"/>
        </w:rPr>
        <w:t>甲乙双方均应全面履行本合同,任何一方不履行或不按约定履行均构成违约,违约方应赔偿因此给对方造成的损失。损失赔偿金额为守约方因对方违约而造成的全部直接经济损失和按此合同可获得的经济利益, 但此全部赔偿金额不得高于违约方应当预见的因违反合同可能给对方造成的经济损失。</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乙方应按本合同项目要求进行项目的开发建设、安装、调试</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运维</w:t>
      </w:r>
      <w:r>
        <w:rPr>
          <w:rFonts w:hint="eastAsia" w:ascii="仿宋_GB2312" w:hAnsi="仿宋_GB2312" w:eastAsia="仿宋_GB2312" w:cs="仿宋_GB2312"/>
          <w:kern w:val="0"/>
          <w:sz w:val="32"/>
          <w:szCs w:val="32"/>
        </w:rPr>
        <w:t>等工作，如因乙方原因导致不能达到本合同项目所规定的内容、要求，甲方有权解除本合同，乙方应返还甲方己经支付的全部款项，并向甲方支付合同总额</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0%的违约金。</w:t>
      </w:r>
    </w:p>
    <w:p>
      <w:pPr>
        <w:keepNext w:val="0"/>
        <w:keepLines w:val="0"/>
        <w:pageBreakBefore w:val="0"/>
        <w:widowControl/>
        <w:numPr>
          <w:ilvl w:val="0"/>
          <w:numId w:val="0"/>
        </w:numPr>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乙方如违反本合同约定的保密义务,应当采取有效措施防止保密信息泄密范围的进一步扩大,并承担全部责任，由此造成甲方损失的，乙方应负责赔偿 。</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 xml:space="preserve">第十条 </w:t>
      </w:r>
      <w:r>
        <w:rPr>
          <w:rFonts w:hint="eastAsia" w:ascii="仿宋_GB2312" w:hAnsi="仿宋_GB2312" w:eastAsia="仿宋_GB2312" w:cs="仿宋_GB2312"/>
          <w:b/>
          <w:bCs/>
          <w:kern w:val="0"/>
          <w:sz w:val="32"/>
          <w:szCs w:val="32"/>
        </w:rPr>
        <w:t>争议解决</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履行合同过程中发生争议，双方应通过友好协商解决；</w:t>
      </w:r>
      <w:bookmarkStart w:id="15" w:name="OLE_LINK3"/>
      <w:r>
        <w:rPr>
          <w:rFonts w:hint="eastAsia" w:ascii="仿宋_GB2312" w:hAnsi="仿宋_GB2312" w:eastAsia="仿宋_GB2312" w:cs="仿宋_GB2312"/>
          <w:kern w:val="0"/>
          <w:sz w:val="32"/>
          <w:szCs w:val="32"/>
        </w:rPr>
        <w:t>经协商不能达成协议时，</w:t>
      </w:r>
      <w:bookmarkStart w:id="16" w:name="OLE_LINK2"/>
      <w:r>
        <w:rPr>
          <w:rFonts w:hint="eastAsia" w:ascii="仿宋_GB2312" w:hAnsi="仿宋_GB2312" w:eastAsia="仿宋_GB2312" w:cs="仿宋_GB2312"/>
          <w:kern w:val="0"/>
          <w:sz w:val="32"/>
          <w:szCs w:val="32"/>
        </w:rPr>
        <w:t>则双方同意提请甲方所在地人民法院诉讼解决。</w:t>
      </w:r>
    </w:p>
    <w:bookmarkEnd w:id="15"/>
    <w:bookmarkEnd w:id="16"/>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在争议解决期间，合同无争议部分能继续履行的，经无过错方同意，应继续履行。</w:t>
      </w:r>
    </w:p>
    <w:p>
      <w:pPr>
        <w:keepNext w:val="0"/>
        <w:keepLines w:val="0"/>
        <w:pageBreakBefore w:val="0"/>
        <w:widowControl/>
        <w:tabs>
          <w:tab w:val="left" w:pos="5670"/>
        </w:tabs>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第</w:t>
      </w:r>
      <w:r>
        <w:rPr>
          <w:rFonts w:hint="eastAsia" w:ascii="仿宋_GB2312" w:hAnsi="仿宋_GB2312" w:eastAsia="仿宋_GB2312" w:cs="仿宋_GB2312"/>
          <w:b/>
          <w:kern w:val="0"/>
          <w:sz w:val="32"/>
          <w:szCs w:val="32"/>
        </w:rPr>
        <w:t>十</w:t>
      </w:r>
      <w:r>
        <w:rPr>
          <w:rFonts w:hint="eastAsia" w:ascii="仿宋_GB2312" w:hAnsi="仿宋_GB2312" w:eastAsia="仿宋_GB2312" w:cs="仿宋_GB2312"/>
          <w:b/>
          <w:kern w:val="0"/>
          <w:sz w:val="32"/>
          <w:szCs w:val="32"/>
          <w:lang w:val="en-US" w:eastAsia="zh-CN"/>
        </w:rPr>
        <w:t xml:space="preserve">一条 </w:t>
      </w:r>
      <w:r>
        <w:rPr>
          <w:rFonts w:hint="eastAsia" w:ascii="仿宋_GB2312" w:hAnsi="仿宋_GB2312" w:eastAsia="仿宋_GB2312" w:cs="仿宋_GB2312"/>
          <w:b/>
          <w:kern w:val="0"/>
          <w:sz w:val="32"/>
          <w:szCs w:val="32"/>
        </w:rPr>
        <w:t>合同补充、修改或变更</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一</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双方协商一致，可以依法对本合同进行补充、修改或变更。</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对本合同的任何补充、修改或变更必须以书面形式进行。</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三</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双方签订的补充协议以及修改或变更的条款与本合同具有同等法律效力。</w:t>
      </w: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lang w:val="en-US" w:eastAsia="zh-CN"/>
        </w:rPr>
        <w:t>第</w:t>
      </w:r>
      <w:r>
        <w:rPr>
          <w:rFonts w:hint="eastAsia" w:ascii="仿宋_GB2312" w:hAnsi="仿宋_GB2312" w:eastAsia="仿宋_GB2312" w:cs="仿宋_GB2312"/>
          <w:b/>
          <w:kern w:val="0"/>
          <w:sz w:val="32"/>
          <w:szCs w:val="32"/>
        </w:rPr>
        <w:t>十</w:t>
      </w:r>
      <w:r>
        <w:rPr>
          <w:rFonts w:hint="eastAsia" w:ascii="仿宋_GB2312" w:hAnsi="仿宋_GB2312" w:eastAsia="仿宋_GB2312" w:cs="仿宋_GB2312"/>
          <w:b/>
          <w:kern w:val="0"/>
          <w:sz w:val="32"/>
          <w:szCs w:val="32"/>
          <w:lang w:val="en-US" w:eastAsia="zh-CN"/>
        </w:rPr>
        <w:t xml:space="preserve">二条 </w:t>
      </w:r>
      <w:r>
        <w:rPr>
          <w:rFonts w:hint="eastAsia" w:ascii="仿宋_GB2312" w:hAnsi="仿宋_GB2312" w:eastAsia="仿宋_GB2312" w:cs="仿宋_GB2312"/>
          <w:b/>
          <w:kern w:val="0"/>
          <w:sz w:val="32"/>
          <w:szCs w:val="32"/>
        </w:rPr>
        <w:t>其它约定事项</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b w:val="0"/>
          <w:bCs/>
          <w:kern w:val="0"/>
          <w:sz w:val="32"/>
          <w:szCs w:val="32"/>
          <w:lang w:eastAsia="zh-CN"/>
        </w:rPr>
      </w:pP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lang w:val="en-US" w:eastAsia="zh-CN"/>
        </w:rPr>
        <w:t>一</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b w:val="0"/>
          <w:bCs/>
          <w:kern w:val="0"/>
          <w:sz w:val="32"/>
          <w:szCs w:val="32"/>
        </w:rPr>
        <w:t>本</w:t>
      </w:r>
      <w:r>
        <w:rPr>
          <w:rFonts w:hint="eastAsia" w:ascii="仿宋_GB2312" w:hAnsi="仿宋_GB2312" w:eastAsia="仿宋_GB2312" w:cs="仿宋_GB2312"/>
          <w:b w:val="0"/>
          <w:bCs/>
          <w:kern w:val="0"/>
          <w:sz w:val="32"/>
          <w:szCs w:val="32"/>
          <w:lang w:val="en-US" w:eastAsia="zh-CN"/>
        </w:rPr>
        <w:t>合同</w:t>
      </w:r>
      <w:r>
        <w:rPr>
          <w:rFonts w:hint="eastAsia" w:ascii="仿宋_GB2312" w:hAnsi="仿宋_GB2312" w:eastAsia="仿宋_GB2312" w:cs="仿宋_GB2312"/>
          <w:b w:val="0"/>
          <w:bCs/>
          <w:kern w:val="0"/>
          <w:sz w:val="32"/>
          <w:szCs w:val="32"/>
        </w:rPr>
        <w:t>一式</w:t>
      </w:r>
      <w:r>
        <w:rPr>
          <w:rFonts w:hint="eastAsia" w:ascii="仿宋_GB2312" w:hAnsi="仿宋_GB2312" w:eastAsia="仿宋_GB2312" w:cs="仿宋_GB2312"/>
          <w:b w:val="0"/>
          <w:bCs/>
          <w:kern w:val="0"/>
          <w:sz w:val="32"/>
          <w:szCs w:val="32"/>
          <w:lang w:val="en-US" w:eastAsia="zh-CN"/>
        </w:rPr>
        <w:t>四</w:t>
      </w:r>
      <w:r>
        <w:rPr>
          <w:rFonts w:hint="eastAsia" w:ascii="仿宋_GB2312" w:hAnsi="仿宋_GB2312" w:eastAsia="仿宋_GB2312" w:cs="仿宋_GB2312"/>
          <w:b w:val="0"/>
          <w:bCs/>
          <w:kern w:val="0"/>
          <w:sz w:val="32"/>
          <w:szCs w:val="32"/>
        </w:rPr>
        <w:t>份，甲、乙双方各执</w:t>
      </w:r>
      <w:r>
        <w:rPr>
          <w:rFonts w:hint="eastAsia" w:ascii="仿宋_GB2312" w:hAnsi="仿宋_GB2312" w:eastAsia="仿宋_GB2312" w:cs="仿宋_GB2312"/>
          <w:b w:val="0"/>
          <w:bCs/>
          <w:kern w:val="0"/>
          <w:sz w:val="32"/>
          <w:szCs w:val="32"/>
          <w:lang w:val="en-US" w:eastAsia="zh-CN"/>
        </w:rPr>
        <w:t>两</w:t>
      </w:r>
      <w:r>
        <w:rPr>
          <w:rFonts w:hint="eastAsia" w:ascii="仿宋_GB2312" w:hAnsi="仿宋_GB2312" w:eastAsia="仿宋_GB2312" w:cs="仿宋_GB2312"/>
          <w:b w:val="0"/>
          <w:bCs/>
          <w:kern w:val="0"/>
          <w:sz w:val="32"/>
          <w:szCs w:val="32"/>
        </w:rPr>
        <w:t>份</w:t>
      </w:r>
      <w:r>
        <w:rPr>
          <w:rFonts w:hint="eastAsia" w:ascii="仿宋_GB2312" w:hAnsi="仿宋_GB2312" w:eastAsia="仿宋_GB2312" w:cs="仿宋_GB2312"/>
          <w:b w:val="0"/>
          <w:bCs/>
          <w:kern w:val="0"/>
          <w:sz w:val="32"/>
          <w:szCs w:val="32"/>
          <w:lang w:eastAsia="zh-CN"/>
        </w:rPr>
        <w:t>。</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二</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一方当事人未经另一方书面同意，不得将其在合同下的权利和义务全部或部分转让给第三人。</w:t>
      </w:r>
    </w:p>
    <w:p>
      <w:pPr>
        <w:keepNext w:val="0"/>
        <w:keepLines w:val="0"/>
        <w:pageBreakBefore w:val="0"/>
        <w:widowControl/>
        <w:kinsoku/>
        <w:wordWrap/>
        <w:overflowPunct/>
        <w:topLinePunct w:val="0"/>
        <w:autoSpaceDE/>
        <w:autoSpaceDN/>
        <w:bidi w:val="0"/>
        <w:adjustRightInd/>
        <w:spacing w:line="360" w:lineRule="auto"/>
        <w:ind w:firstLine="646" w:firstLineChars="202"/>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bCs w:val="0"/>
          <w:kern w:val="0"/>
          <w:sz w:val="32"/>
          <w:szCs w:val="32"/>
        </w:rPr>
      </w:pPr>
      <w:r>
        <w:rPr>
          <w:rFonts w:hint="eastAsia" w:ascii="仿宋_GB2312" w:hAnsi="仿宋_GB2312" w:eastAsia="仿宋_GB2312" w:cs="仿宋_GB2312"/>
          <w:b/>
          <w:bCs/>
          <w:kern w:val="0"/>
          <w:sz w:val="32"/>
          <w:szCs w:val="32"/>
        </w:rPr>
        <w:t>甲    方：（盖章）</w:t>
      </w:r>
      <w:r>
        <w:rPr>
          <w:rFonts w:hint="eastAsia" w:ascii="仿宋_GB2312" w:hAnsi="仿宋_GB2312" w:eastAsia="仿宋_GB2312" w:cs="仿宋_GB2312"/>
          <w:b/>
          <w:bCs w:val="0"/>
          <w:sz w:val="32"/>
          <w:szCs w:val="32"/>
          <w:lang w:eastAsia="zh-CN"/>
        </w:rPr>
        <w:t>赤峰市住房保障服务中心</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法定代表人：（签字）</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委托代理人：（签字）</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jc w:val="left"/>
        <w:textAlignment w:val="auto"/>
        <w:rPr>
          <w:rFonts w:hint="eastAsia" w:ascii="仿宋_GB2312" w:hAnsi="仿宋_GB2312" w:eastAsia="仿宋_GB2312" w:cs="仿宋_GB2312"/>
          <w:kern w:val="0"/>
          <w:sz w:val="32"/>
          <w:szCs w:val="32"/>
        </w:rPr>
      </w:pPr>
    </w:p>
    <w:p>
      <w:pPr>
        <w:keepNext w:val="0"/>
        <w:keepLines w:val="0"/>
        <w:pageBreakBefore w:val="0"/>
        <w:widowControl/>
        <w:kinsoku/>
        <w:wordWrap/>
        <w:overflowPunct/>
        <w:topLinePunct w:val="0"/>
        <w:autoSpaceDE/>
        <w:autoSpaceDN/>
        <w:bidi w:val="0"/>
        <w:adjustRightInd/>
        <w:spacing w:line="360" w:lineRule="auto"/>
        <w:ind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rPr>
        <w:t>乙    方：（盖章）</w:t>
      </w:r>
      <w:r>
        <w:rPr>
          <w:rFonts w:hint="eastAsia" w:ascii="仿宋_GB2312" w:hAnsi="仿宋_GB2312" w:eastAsia="仿宋_GB2312" w:cs="仿宋_GB2312"/>
          <w:b/>
          <w:bCs/>
          <w:kern w:val="0"/>
          <w:sz w:val="32"/>
          <w:szCs w:val="32"/>
          <w:lang w:val="en-US" w:eastAsia="zh-CN"/>
        </w:rPr>
        <w:t xml:space="preserve"> </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法定代表人：（签字）</w:t>
      </w:r>
    </w:p>
    <w:p>
      <w:pPr>
        <w:keepNext w:val="0"/>
        <w:keepLines w:val="0"/>
        <w:pageBreakBefore w:val="0"/>
        <w:widowControl/>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委托代理人：（签字）</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联系电话：</w:t>
      </w:r>
    </w:p>
    <w:p>
      <w:pPr>
        <w:keepNext w:val="0"/>
        <w:keepLines w:val="0"/>
        <w:pageBreakBefore w:val="0"/>
        <w:widowControl/>
        <w:tabs>
          <w:tab w:val="left" w:pos="5670"/>
        </w:tabs>
        <w:kinsoku/>
        <w:wordWrap/>
        <w:overflowPunct/>
        <w:topLinePunct w:val="0"/>
        <w:autoSpaceDE/>
        <w:autoSpaceDN/>
        <w:bidi w:val="0"/>
        <w:adjustRightInd/>
        <w:spacing w:line="360" w:lineRule="auto"/>
        <w:ind w:firstLine="640" w:firstLineChars="200"/>
        <w:jc w:val="lef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年</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日</w:t>
      </w:r>
    </w:p>
    <w:p>
      <w:pPr>
        <w:keepNext w:val="0"/>
        <w:keepLines w:val="0"/>
        <w:pageBreakBefore w:val="0"/>
        <w:kinsoku/>
        <w:wordWrap/>
        <w:overflowPunct/>
        <w:topLinePunct w:val="0"/>
        <w:autoSpaceDE/>
        <w:autoSpaceDN/>
        <w:bidi w:val="0"/>
        <w:adjustRightInd/>
        <w:spacing w:line="360" w:lineRule="auto"/>
        <w:textAlignment w:val="auto"/>
        <w:rPr>
          <w:rFonts w:hint="eastAsia" w:ascii="仿宋_GB2312" w:hAnsi="仿宋_GB2312" w:eastAsia="仿宋_GB2312" w:cs="仿宋_GB2312"/>
          <w:sz w:val="32"/>
          <w:szCs w:val="3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ascii="仿宋_GB2312" w:hAnsi="仿宋_GB2312" w:eastAsia="仿宋_GB2312" w:cs="仿宋_GB2312"/>
        </w:rPr>
      </w:pPr>
    </w:p>
    <w:p>
      <w:pPr>
        <w:rPr>
          <w:rFonts w:hint="eastAsia"/>
        </w:rPr>
      </w:pPr>
      <w:bookmarkStart w:id="17" w:name="_GoBack"/>
      <w:bookmarkEnd w:id="17"/>
    </w:p>
    <w:sectPr>
      <w:headerReference r:id="rId5" w:type="default"/>
      <w:footerReference r:id="rId6" w:type="default"/>
      <w:pgSz w:w="11906" w:h="16838"/>
      <w:pgMar w:top="2098" w:right="1474" w:bottom="1985" w:left="1588"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left="0" w:leftChars="0" w:firstLine="0" w:firstLineChars="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6"/>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ascii="宋体"/>
        <w:sz w:val="28"/>
        <w:szCs w:val="28"/>
      </w:rPr>
    </w:pPr>
    <w:r>
      <w:rPr>
        <w:rFonts w:hint="eastAsia" w:ascii="宋体"/>
        <w:sz w:val="28"/>
        <w:szCs w:val="28"/>
      </w:rPr>
      <w:fldChar w:fldCharType="begin"/>
    </w:r>
    <w:r>
      <w:rPr>
        <w:rFonts w:hint="eastAsia" w:ascii="宋体"/>
        <w:sz w:val="28"/>
        <w:szCs w:val="28"/>
      </w:rPr>
      <w:instrText xml:space="preserve"> PAGE   \* MERGEFORMAT </w:instrText>
    </w:r>
    <w:r>
      <w:rPr>
        <w:rFonts w:hint="eastAsia" w:ascii="宋体"/>
        <w:sz w:val="28"/>
        <w:szCs w:val="28"/>
      </w:rPr>
      <w:fldChar w:fldCharType="separate"/>
    </w:r>
    <w:r>
      <w:rPr>
        <w:rFonts w:hint="eastAsia" w:ascii="宋体"/>
        <w:sz w:val="28"/>
        <w:szCs w:val="28"/>
        <w:lang w:val="zh-CN"/>
      </w:rPr>
      <w:t>-</w:t>
    </w:r>
    <w:r>
      <w:rPr>
        <w:rFonts w:hint="eastAsia" w:ascii="宋体"/>
        <w:sz w:val="28"/>
        <w:szCs w:val="28"/>
      </w:rPr>
      <w:t xml:space="preserve"> 2 -</w:t>
    </w:r>
    <w:r>
      <w:rPr>
        <w:rFonts w:hint="eastAsia" w:ascii="宋体"/>
        <w:sz w:val="28"/>
        <w:szCs w:val="28"/>
      </w:rP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C7D6AE"/>
    <w:multiLevelType w:val="singleLevel"/>
    <w:tmpl w:val="C7C7D6AE"/>
    <w:lvl w:ilvl="0" w:tentative="0">
      <w:start w:val="5"/>
      <w:numFmt w:val="chineseCounting"/>
      <w:suff w:val="nothing"/>
      <w:lvlText w:val="%1、"/>
      <w:lvlJc w:val="left"/>
      <w:rPr>
        <w:rFonts w:hint="eastAsia"/>
      </w:rPr>
    </w:lvl>
  </w:abstractNum>
  <w:abstractNum w:abstractNumId="1">
    <w:nsid w:val="325EEF76"/>
    <w:multiLevelType w:val="singleLevel"/>
    <w:tmpl w:val="325EEF76"/>
    <w:lvl w:ilvl="0" w:tentative="0">
      <w:start w:val="1"/>
      <w:numFmt w:val="chineseCounting"/>
      <w:suff w:val="space"/>
      <w:lvlText w:val="第%1条"/>
      <w:lvlJc w:val="left"/>
      <w:rPr>
        <w:rFonts w:hint="eastAsia"/>
      </w:rPr>
    </w:lvl>
  </w:abstractNum>
  <w:abstractNum w:abstractNumId="2">
    <w:nsid w:val="4BCEA917"/>
    <w:multiLevelType w:val="singleLevel"/>
    <w:tmpl w:val="4BCEA917"/>
    <w:lvl w:ilvl="0" w:tentative="0">
      <w:start w:val="6"/>
      <w:numFmt w:val="chineseCounting"/>
      <w:suff w:val="nothing"/>
      <w:lvlText w:val="%1、"/>
      <w:lvlJc w:val="left"/>
      <w:rPr>
        <w:rFonts w:hint="eastAsia"/>
      </w:rPr>
    </w:lvl>
  </w:abstractNum>
  <w:abstractNum w:abstractNumId="3">
    <w:nsid w:val="73DABD1E"/>
    <w:multiLevelType w:val="singleLevel"/>
    <w:tmpl w:val="73DABD1E"/>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82082"/>
    <w:rsid w:val="04764FAB"/>
    <w:rsid w:val="20B82082"/>
    <w:rsid w:val="27FF6B76"/>
    <w:rsid w:val="39972483"/>
    <w:rsid w:val="462A3B57"/>
    <w:rsid w:val="504B5ACC"/>
    <w:rsid w:val="5BCE4466"/>
    <w:rsid w:val="632F714D"/>
    <w:rsid w:val="68CA7928"/>
    <w:rsid w:val="6983009E"/>
    <w:rsid w:val="6AE22763"/>
    <w:rsid w:val="6CF97698"/>
    <w:rsid w:val="74805B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黑体"/>
      <w:kern w:val="2"/>
      <w:sz w:val="21"/>
      <w:szCs w:val="22"/>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style>
  <w:style w:type="paragraph" w:styleId="3">
    <w:name w:val="index 5"/>
    <w:basedOn w:val="1"/>
    <w:next w:val="1"/>
    <w:uiPriority w:val="0"/>
    <w:pPr>
      <w:ind w:left="1680" w:firstLine="200" w:firstLineChars="200"/>
    </w:pPr>
  </w:style>
  <w:style w:type="paragraph" w:styleId="4">
    <w:name w:val="Body Text"/>
    <w:basedOn w:val="1"/>
    <w:next w:val="5"/>
    <w:qFormat/>
    <w:uiPriority w:val="0"/>
    <w:pPr>
      <w:spacing w:after="120" w:afterAutospacing="0"/>
    </w:pPr>
  </w:style>
  <w:style w:type="paragraph" w:styleId="5">
    <w:name w:val="Title"/>
    <w:basedOn w:val="1"/>
    <w:next w:val="1"/>
    <w:qFormat/>
    <w:uiPriority w:val="10"/>
    <w:pPr>
      <w:spacing w:before="240" w:after="60"/>
      <w:jc w:val="center"/>
      <w:outlineLvl w:val="0"/>
    </w:pPr>
    <w:rPr>
      <w:rFonts w:ascii="等线 Light" w:hAnsi="等线 Light" w:eastAsia="等线 Light" w:cs="Times New Roman"/>
      <w:b/>
      <w:bCs/>
      <w:sz w:val="32"/>
      <w:szCs w:val="32"/>
    </w:rPr>
  </w:style>
  <w:style w:type="paragraph" w:styleId="6">
    <w:name w:val="footer"/>
    <w:basedOn w:val="1"/>
    <w:uiPriority w:val="0"/>
    <w:pPr>
      <w:tabs>
        <w:tab w:val="center" w:pos="4153"/>
        <w:tab w:val="right" w:pos="8306"/>
      </w:tabs>
      <w:snapToGrid w:val="0"/>
      <w:jc w:val="left"/>
    </w:pPr>
    <w:rPr>
      <w:sz w:val="18"/>
      <w:szCs w:val="18"/>
    </w:rPr>
  </w:style>
  <w:style w:type="paragraph" w:styleId="7">
    <w:name w:val="toc 1"/>
    <w:basedOn w:val="1"/>
    <w:next w:val="1"/>
    <w:qFormat/>
    <w:uiPriority w:val="0"/>
  </w:style>
  <w:style w:type="table" w:styleId="9">
    <w:name w:val="Table Grid"/>
    <w:basedOn w:val="8"/>
    <w:qFormat/>
    <w:uiPriority w:val="39"/>
    <w:pPr>
      <w:jc w:val="both"/>
    </w:pPr>
    <w:rPr>
      <w:rFonts w:ascii="等线" w:hAnsi="等线" w:cs="Times New Roman"/>
      <w:kern w:val="2"/>
      <w:sz w:val="24"/>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pPr>
        <w:jc w:val="center"/>
      </w:pPr>
    </w:tblStylePr>
    <w:tblStylePr w:type="firstCol">
      <w:pPr>
        <w:jc w:val="center"/>
      </w:pPr>
    </w:tblStyle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0</Words>
  <Characters>0</Characters>
  <Lines>0</Lines>
  <Paragraphs>0</Paragraphs>
  <TotalTime>30</TotalTime>
  <ScaleCrop>false</ScaleCrop>
  <LinksUpToDate>false</LinksUpToDate>
  <CharactersWithSpaces>0</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2025-09-22T15:18:00Z</dcterms:created>
  <dc:creator>企业用户_1134659272</dc:creator>
  <cp:lastModifiedBy>Toni</cp:lastModifiedBy>
  <cp:lastPrinted>2026-01-30T01:53:00Z</cp:lastPrinted>
  <dcterms:modified xsi:type="dcterms:W3CDTF">2026-02-03T03:46:57Z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53B9CE3A7B634B85BAE2CA3708D692A7</vt:lpwstr>
  </property>
  <property fmtid="{D5CDD505-2E9C-101B-9397-08002B2CF9AE}" pid="4" name="KSOTemplateDocerSaveRecord">
    <vt:lpwstr>eyJoZGlkIjoiNGU3ZmNkMjM0YThlZDZmMTBhMzIxNjcyZDUxMmZiZmIiLCJ1c2VySWQiOiIxNTMyMzI2NjI0In0=</vt:lpwstr>
  </property>
</Properties>
</file>