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A8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2" w:lineRule="exact"/>
        <w:jc w:val="both"/>
        <w:textAlignment w:val="auto"/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sz w:val="32"/>
          <w:szCs w:val="32"/>
          <w:highlight w:val="none"/>
          <w:lang w:val="en-US" w:eastAsia="zh-CN"/>
        </w:rPr>
        <w:t>1</w:t>
      </w:r>
    </w:p>
    <w:p w14:paraId="0D801F7B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146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  <w:lang w:val="en-US" w:eastAsia="zh-CN"/>
        </w:rPr>
      </w:pPr>
    </w:p>
    <w:p w14:paraId="1BA573CC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146" w:line="572" w:lineRule="exact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  <w:lang w:val="en-US" w:eastAsia="zh-CN"/>
        </w:rPr>
        <w:t>赤峰市城镇集中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供热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  <w:lang w:val="en-US" w:eastAsia="zh-CN"/>
        </w:rPr>
        <w:t>企业</w:t>
      </w:r>
      <w:r>
        <w:rPr>
          <w:rFonts w:hint="eastAsia" w:ascii="方正小标宋简体" w:hAnsi="方正小标宋简体" w:eastAsia="方正小标宋简体" w:cs="方正小标宋简体"/>
          <w:b w:val="0"/>
          <w:bCs w:val="0"/>
          <w:spacing w:val="-18"/>
          <w:sz w:val="44"/>
          <w:szCs w:val="44"/>
        </w:rPr>
        <w:t>综合评价办法</w:t>
      </w:r>
    </w:p>
    <w:p w14:paraId="17BD5BC4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before="146" w:line="572" w:lineRule="exact"/>
        <w:jc w:val="center"/>
        <w:rPr>
          <w:rFonts w:hint="eastAsia" w:ascii="楷体_GB2312" w:hAnsi="楷体_GB2312" w:eastAsia="楷体_GB2312" w:cs="楷体_GB2312"/>
          <w:b w:val="0"/>
          <w:bCs w:val="0"/>
          <w:sz w:val="32"/>
          <w:szCs w:val="32"/>
        </w:rPr>
      </w:pPr>
      <w:r>
        <w:rPr>
          <w:rFonts w:hint="eastAsia" w:ascii="楷体_GB2312" w:hAnsi="楷体_GB2312" w:eastAsia="楷体_GB2312" w:cs="楷体_GB2312"/>
          <w:b w:val="0"/>
          <w:bCs w:val="0"/>
          <w:spacing w:val="3"/>
          <w:sz w:val="32"/>
          <w:szCs w:val="32"/>
        </w:rPr>
        <w:t>(征求意见稿)</w:t>
      </w:r>
    </w:p>
    <w:p w14:paraId="661B21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right="0"/>
        <w:jc w:val="center"/>
        <w:textAlignment w:val="baseline"/>
        <w:rPr>
          <w:rFonts w:hint="eastAsia" w:ascii="黑体" w:hAnsi="黑体" w:eastAsia="黑体" w:cs="黑体"/>
          <w:b w:val="0"/>
          <w:bCs w:val="0"/>
          <w:spacing w:val="-3"/>
          <w:sz w:val="32"/>
          <w:szCs w:val="32"/>
        </w:rPr>
      </w:pPr>
    </w:p>
    <w:p w14:paraId="33E3A09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2" w:lineRule="exact"/>
        <w:ind w:right="0"/>
        <w:jc w:val="center"/>
        <w:textAlignment w:val="baseline"/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</w:pPr>
      <w:r>
        <w:rPr>
          <w:rFonts w:hint="eastAsia" w:ascii="Times New Roman" w:hAnsi="Times New Roman" w:eastAsia="黑体" w:cs="Times New Roman"/>
          <w:b w:val="0"/>
          <w:bCs w:val="0"/>
          <w:color w:val="auto"/>
          <w:spacing w:val="-3"/>
          <w:sz w:val="32"/>
          <w:szCs w:val="32"/>
        </w:rPr>
        <w:t>第一章 总 则</w:t>
      </w:r>
    </w:p>
    <w:p w14:paraId="6E571CC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第一条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为加强城镇供热管理，提高供热质量和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服务水平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，促进供热行业健康、平稳、可持续发展，根据《内蒙古自治区城市供热条例》、《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赤峰市城镇供热条例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》等有关规定，结合我市实际，制定本办法。</w:t>
      </w:r>
    </w:p>
    <w:p w14:paraId="42BEB1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第二条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本办法适用于在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赤峰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市从事城镇供热生产、经营活动的供热企业综合评价。</w:t>
      </w:r>
    </w:p>
    <w:p w14:paraId="27A598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第三条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本办法所称供热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综合评价，是指对供热企业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配合行业监管、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供热质量、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智慧化建设、清洁取暖、投诉管理、安全生产、应急保障、供热服务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等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活动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的综合评价。</w:t>
      </w:r>
    </w:p>
    <w:p w14:paraId="7951F2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第四条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综合评价按照评价等级结果对供热企业实行分类管理。</w:t>
      </w:r>
    </w:p>
    <w:p w14:paraId="2AC8C9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第五条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综合评价坚持公平、公正、公开的原则，实行政府主导、社会参与、统一标准、综合评价的方式。</w:t>
      </w:r>
    </w:p>
    <w:p w14:paraId="669B5A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第六条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旗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区供热主管部门负责组织实施辖区内城镇供热企业的综合评价，市住房和城乡建设局负责对旗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区供热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综合评价进行复核研判。</w:t>
      </w:r>
    </w:p>
    <w:p w14:paraId="55ADAC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jc w:val="both"/>
        <w:textAlignment w:val="auto"/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</w:pPr>
    </w:p>
    <w:p w14:paraId="32B161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bookmarkStart w:id="0" w:name="_GoBack"/>
      <w:bookmarkEnd w:id="0"/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第二章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评价指标与等级</w:t>
      </w:r>
    </w:p>
    <w:p w14:paraId="7F802D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综合评价实行百分制(不含加分项),评价指标体系主要包括以下内容：</w:t>
      </w:r>
    </w:p>
    <w:p w14:paraId="78A38A1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配合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行业监管：包括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热源单位、供热单位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参加供热主管部门相关会议、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落实部署的工作、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按时报送有关资料、配合监督检查工作等。(10分)</w:t>
      </w:r>
    </w:p>
    <w:p w14:paraId="17319D1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(二)供热质量：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热源单位、供热单位供热期安全、稳定、连续、保质保量供热，充分发挥自治区室温在线监测平台的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监管作用，供热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单位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建立温度抽测制度，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保障热用户稳定用热、室温达标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。(15分)</w:t>
      </w:r>
    </w:p>
    <w:p w14:paraId="5CD1724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(三)智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慧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化建设：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热源单位、供热单位推进智慧化建设，应搭建智能化供热系统平台，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建立热源、热网、换热站、热用户基础数据库，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推进全网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数据实时采集、监测分析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和智能化调度，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通过网站、手机APP、微信公众号等方式提供线上服务等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(8分)</w:t>
      </w:r>
    </w:p>
    <w:p w14:paraId="22B0AD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(四)清洁取暖、节能减排：热源单位、供热单位应积极推动发展热电联产、工业余热、太阳能等清洁能源供热，加强能耗监测和生产运行管理，落实国家、自治区和市政府节能减排排有关工作部署，对既有供热管网、设施进行节能改造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开展节能减排培训等。(10分)</w:t>
      </w:r>
    </w:p>
    <w:p w14:paraId="611F17E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(五)投诉管理：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供热单位应建立健全的供热服务投诉举报管理制度，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畅通投诉渠道、建立服务体系、规范服务、做好投诉反馈等。(15分)</w:t>
      </w:r>
    </w:p>
    <w:p w14:paraId="4A15DD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(六)安全生产：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热源单位和供热单位应建立健全供热安全生产管理制度，安全生产管理责任目标应逐级明确，安全技术操作规程齐全，员工规范操作，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供热设施巡查制度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完善等。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(15分)</w:t>
      </w:r>
    </w:p>
    <w:p w14:paraId="5026166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(七)应急保障：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热源单位、供热单位应建立明确的供热应急领导小组、执行团队，职责分工明确；制定供热突发事件应急预案、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发生供热突发事故时能及时抢险、恢复供热、保证充足燃煤储备等。(12分)</w:t>
      </w:r>
    </w:p>
    <w:p w14:paraId="0C5C725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(八)供热服务：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供热单位应强化供热服务制度建设，建立并完善热用户服务制度、用户联系机制、服务奖惩办法及服务工作质量标准，并按制度、标准执行。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(15分)</w:t>
      </w:r>
    </w:p>
    <w:p w14:paraId="5E27CA2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(九)加分项：根据企业提供的佐证材料及依据酌情加分，加分总和不超过10分。(10分)</w:t>
      </w:r>
    </w:p>
    <w:p w14:paraId="4757AFC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具体评价指标和评分标准见附件《赤峰市城镇集中供热企业综合评价标准》。</w:t>
      </w:r>
    </w:p>
    <w:p w14:paraId="3B4DBD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第八条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综合评价等级根据评价结果由高分到低分，分为A级-绿牌供热企业、B级-蓝牌供热企业、C级-黄牌供热企业、D级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-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红牌供热企业四个级别。</w:t>
      </w:r>
    </w:p>
    <w:p w14:paraId="76D9516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(一)A级-绿牌供热企业为供热质量和服务质量优秀企业，评价指标得分≥90分；</w:t>
      </w:r>
    </w:p>
    <w:p w14:paraId="22A680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(二)B级-蓝牌供热企业为供热质量和服务质量良好企业，评价指标得分≥80分；</w:t>
      </w:r>
    </w:p>
    <w:p w14:paraId="5B45F8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(三)C级-黄牌供热企业为供热质量和服务质量一般企业，评价指标得分≥70分；</w:t>
      </w:r>
    </w:p>
    <w:p w14:paraId="2F152A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(四)D级-红牌供热企业为供热质量和服务质量不合格单位，评价指标得分&lt;70分。</w:t>
      </w:r>
    </w:p>
    <w:p w14:paraId="1738CAC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第九条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供热企业有下列情况之一的，在供热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综合评价时给予加分：</w:t>
      </w:r>
    </w:p>
    <w:p w14:paraId="4CE71C3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(一)供热质量高，本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期内用户投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诉率低于千分之五，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且对用户投诉问题能及时、认真处理解决的；</w:t>
      </w:r>
    </w:p>
    <w:p w14:paraId="26FAF1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(二)获得市级及以上表彰奖励的；</w:t>
      </w:r>
    </w:p>
    <w:p w14:paraId="5DEF87F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(三)积极承担社会责任，完成政府要求供热任务和节能减排任务的；</w:t>
      </w:r>
    </w:p>
    <w:p w14:paraId="0FA119A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(四)积极参加政府和行业开展的各项活动，并且成绩突出的；</w:t>
      </w:r>
    </w:p>
    <w:p w14:paraId="287CA4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(五)积极开展智慧供热和供热计量改造，实行供热计量收费的，节能降耗成效明显的。</w:t>
      </w:r>
    </w:p>
    <w:p w14:paraId="2E404A6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供热企业有下列情形之一的，在供热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综合评价时给予减分：</w:t>
      </w:r>
    </w:p>
    <w:p w14:paraId="024DA55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(一)发生重大安全事故或大面积停热，未在规定时限内完成抢修，造成严重后果的；</w:t>
      </w:r>
    </w:p>
    <w:p w14:paraId="10B11E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(二)未经供热主管部门同意擅自移交或者接管供热设施的；</w:t>
      </w:r>
    </w:p>
    <w:p w14:paraId="687184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(三)引起热用户越级、群体、连续上访，经核实存在严重侵害热用户利益行为，影响社会稳定，造成恶劣社会影响的；</w:t>
      </w:r>
    </w:p>
    <w:p w14:paraId="5C155E9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(四)经核实供热企业在评价过程中所提供的材料存在弄虚作假的。</w:t>
      </w:r>
    </w:p>
    <w:p w14:paraId="44C8001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</w:p>
    <w:p w14:paraId="365508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第三章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评价程序</w:t>
      </w:r>
    </w:p>
    <w:p w14:paraId="242466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第十一条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旗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区供热主管部门应当会同行政审批政务服务与数据管理局、信访等部门，以及邀请新闻媒体、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街道办事处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、专家和热用户代表等组成供热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综合评价评审委员会(以下简称评审委员会),负责供热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综合评价的组织领导及评审工作。旗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区供热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综合评价结果应及时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上报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至市住房和城乡建设局，市住房和城乡建设局会同相关部门对全市评价结果进行综合评判。</w:t>
      </w:r>
    </w:p>
    <w:p w14:paraId="2B0317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第十二条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每个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期结束后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3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0日内，供热企业应当向评审委员会提交下列资料：</w:t>
      </w:r>
    </w:p>
    <w:p w14:paraId="4F2A9A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综合评价申请和自评报告；</w:t>
      </w:r>
    </w:p>
    <w:p w14:paraId="7E14046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(二)对照《赤峰市城镇集中供热企业综合评价标准》逐项条款的证明文件、报表等(审原件，留复印件)。</w:t>
      </w:r>
    </w:p>
    <w:p w14:paraId="0D71D5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default" w:ascii="Times New Roman" w:hAnsi="Times New Roman" w:eastAsia="仿宋_GB2312" w:cs="Times New Roman"/>
          <w:bCs/>
          <w:strike w:val="0"/>
          <w:dstrike w:val="0"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第十三条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 xml:space="preserve"> 各旗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县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区评审委员会应当按照《赤峰市城镇集中供热企业综合评价标准》,结合供热企业提交资料进行核查计分，将评价结果</w:t>
      </w:r>
      <w:r>
        <w:rPr>
          <w:rFonts w:hint="eastAsia" w:ascii="Times New Roman" w:hAnsi="Times New Roman" w:eastAsia="仿宋_GB2312" w:cs="Times New Roman"/>
          <w:bCs/>
          <w:strike w:val="0"/>
          <w:dstrike w:val="0"/>
          <w:snapToGrid/>
          <w:color w:val="auto"/>
          <w:kern w:val="2"/>
          <w:sz w:val="32"/>
          <w:szCs w:val="32"/>
          <w:highlight w:val="none"/>
          <w:lang w:eastAsia="zh-CN"/>
        </w:rPr>
        <w:t>予公示，公示期不得少于七日，期间任何单位或个人对评价结果有异议的，可向评审委员会提出书面复核申请。经核查属实的，应调整相应评分并重新公示。最终确定的评价结果作为企业信用档案记录依据，并公开发布</w:t>
      </w:r>
      <w:r>
        <w:rPr>
          <w:rFonts w:hint="default" w:ascii="Times New Roman" w:hAnsi="Times New Roman" w:eastAsia="仿宋_GB2312" w:cs="Times New Roman"/>
          <w:bCs/>
          <w:strike w:val="0"/>
          <w:dstrike w:val="0"/>
          <w:snapToGrid/>
          <w:color w:val="auto"/>
          <w:kern w:val="2"/>
          <w:sz w:val="32"/>
          <w:szCs w:val="32"/>
          <w:highlight w:val="none"/>
          <w:lang w:eastAsia="zh-CN"/>
        </w:rPr>
        <w:t>。</w:t>
      </w:r>
    </w:p>
    <w:p w14:paraId="69F1E1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供热主管部门等相关部门在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期对供热企业的现场检查记录，以及通过其他渠道获得并经确证的信息、证据等均可作为供热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>综合评价的重要依据。</w:t>
      </w:r>
    </w:p>
    <w:p w14:paraId="2C28DE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highlight w:val="none"/>
          <w:lang w:eastAsia="zh-CN"/>
        </w:rPr>
        <w:t>第十四条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highlight w:val="none"/>
          <w:lang w:eastAsia="zh-CN"/>
        </w:rPr>
        <w:t xml:space="preserve"> 受评价供热企业对评价程序或者评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价结果持有异议的，可以向评审委员会提出书面申诉，由评审委员会依据本办法及相关法律法规规定对申诉内容进行核实、处理和答复。</w:t>
      </w:r>
    </w:p>
    <w:p w14:paraId="28A21B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第十五条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市、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旗县区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两级供热主管部门应当建立供热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综合评价数据库以及供热企业信用档案，并向社会开放，为公众提供有关信息查询服务。</w:t>
      </w:r>
    </w:p>
    <w:p w14:paraId="7FEC02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jc w:val="center"/>
        <w:textAlignment w:val="auto"/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第四章 综合管理</w:t>
      </w:r>
    </w:p>
    <w:p w14:paraId="0CB6ED7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六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对获得评价等级的供热企业按照下列规定进行综合分类管理：</w:t>
      </w:r>
    </w:p>
    <w:p w14:paraId="5A3289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(一)对A级-绿牌供热企业，供热主管部门应当优先予以项目、资金支持，在规划调配供热区域时应优先考虑。</w:t>
      </w:r>
    </w:p>
    <w:p w14:paraId="52BBC1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(二)对B级-蓝牌供热企业，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旗县区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供热主管部门要对企业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加强监管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，督促企业在现有规模和基础上，提升供热质量和服务水平。</w:t>
      </w:r>
    </w:p>
    <w:p w14:paraId="5B883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(三)对C级-黄牌供热企业，供热主管部门应当给予警告，责令限期改正，并在整改期间进行重点监管，不允许其新接管或者扩展供热区域。</w:t>
      </w:r>
    </w:p>
    <w:p w14:paraId="536D7B1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0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(四)对D级一红牌供热企业，供热主管部门应当将其列入重点监管范围，责令限期整改；逾期未整改或者整改仍不合格的，依法进行清退并吊销其供热经营许可证；对于依法清退的供热企业，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旗县区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供热主管部门应建立退出应急管理机制，建立应急管理队伍，实行应急接管，保障其供热区域内热用户安全、稳定用热。</w:t>
      </w:r>
    </w:p>
    <w:p w14:paraId="4DA9580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七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市、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旗县区住建部门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应当将供热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综合评价结果报本级人民政府，同时通报有关部门，建议有关部门将评价结果作为对供热企业项目立项、资金下拨、政策优惠、行政审批、日常监管、评先选优等事宜的重要参考依据。</w:t>
      </w:r>
    </w:p>
    <w:p w14:paraId="31959A4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八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供热企业应当按照本办法规定积极参加供热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综合评价活动，配合供热主管部门完成评价工作。</w:t>
      </w:r>
    </w:p>
    <w:p w14:paraId="37DF4A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第十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九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各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旗县区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供热主管部门应当于每年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6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月15日前将本地区供热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综合评价结果和工作总结报送市住房和城乡建设局。</w:t>
      </w:r>
    </w:p>
    <w:p w14:paraId="4415D7C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第二十条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供热企业及其工作人员在供热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企业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综合评价工作中弄虚作假，瞒报、虚报有关情况的，由供热主管部门予以通报批评，并依据有关规定对责任人予以依法处理。</w:t>
      </w:r>
    </w:p>
    <w:p w14:paraId="00AFA65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第二十一条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供热主管部门及其工作人员应当认真履行职责，严格按照规定的程序和标准开展供热质量综合评价，有徇私舞弊、玩忽职守、滥用职权的，按照有关法律法规予以处理。</w:t>
      </w:r>
    </w:p>
    <w:p w14:paraId="116FD4B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jc w:val="center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</w:pP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第五章 附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黑体" w:cs="Times New Roman"/>
          <w:bCs/>
          <w:snapToGrid/>
          <w:color w:val="auto"/>
          <w:kern w:val="2"/>
          <w:sz w:val="32"/>
          <w:szCs w:val="32"/>
          <w:lang w:eastAsia="zh-CN"/>
        </w:rPr>
        <w:t>则</w:t>
      </w:r>
    </w:p>
    <w:p w14:paraId="705A93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572" w:lineRule="exact"/>
        <w:ind w:firstLine="643" w:firstLineChars="200"/>
        <w:jc w:val="both"/>
        <w:textAlignment w:val="auto"/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第二十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val="en-US" w:eastAsia="zh-CN"/>
        </w:rPr>
        <w:t>二</w:t>
      </w:r>
      <w:r>
        <w:rPr>
          <w:rFonts w:hint="eastAsia" w:ascii="Times New Roman" w:hAnsi="Times New Roman" w:eastAsia="仿宋_GB2312" w:cs="Times New Roman"/>
          <w:b/>
          <w:bCs w:val="0"/>
          <w:snapToGrid/>
          <w:color w:val="auto"/>
          <w:kern w:val="2"/>
          <w:sz w:val="32"/>
          <w:szCs w:val="32"/>
          <w:lang w:eastAsia="zh-CN"/>
        </w:rPr>
        <w:t>条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 xml:space="preserve"> 本办法自印发202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5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年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X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eastAsia="zh-CN"/>
        </w:rPr>
        <w:t>月</w:t>
      </w:r>
      <w:r>
        <w:rPr>
          <w:rFonts w:hint="eastAsia" w:ascii="Times New Roman" w:hAnsi="Times New Roman" w:eastAsia="仿宋_GB2312" w:cs="Times New Roman"/>
          <w:bCs/>
          <w:snapToGrid/>
          <w:color w:val="auto"/>
          <w:kern w:val="2"/>
          <w:sz w:val="32"/>
          <w:szCs w:val="32"/>
          <w:lang w:val="en-US" w:eastAsia="zh-CN"/>
        </w:rPr>
        <w:t>X日。</w:t>
      </w:r>
    </w:p>
    <w:p w14:paraId="4F103B2E">
      <w:pPr>
        <w:keepNext w:val="0"/>
        <w:keepLines w:val="0"/>
        <w:pageBreakBefore w:val="0"/>
        <w:wordWrap/>
        <w:overflowPunct/>
        <w:topLinePunct w:val="0"/>
        <w:autoSpaceDE w:val="0"/>
        <w:autoSpaceDN w:val="0"/>
        <w:bidi w:val="0"/>
        <w:adjustRightInd w:val="0"/>
        <w:spacing w:line="572" w:lineRule="exact"/>
      </w:pPr>
    </w:p>
    <w:sectPr>
      <w:footerReference r:id="rId5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3FDF3CE4-B2FE-45E0-AD9F-3AE0597ADC20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68B9C325-8388-4192-950D-FC16FB2A957F}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6BF882A1-C7F4-493C-A200-3B49CDD96A52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楷体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WPSEMBED1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WPSEMBED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4" w:fontKey="{778B01EE-93FF-48B9-8176-7D6D29772FF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2E06B76"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DDFC67F">
                          <w:pPr>
                            <w:pStyle w:val="3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36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DDFC67F">
                    <w:pPr>
                      <w:pStyle w:val="3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36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JkN2VlODEzZWZmMWRkNDlmMjc0ZTRlZTU0Njc2N2UifQ=="/>
  </w:docVars>
  <w:rsids>
    <w:rsidRoot w:val="7B934447"/>
    <w:rsid w:val="07FB0F3B"/>
    <w:rsid w:val="09BE4D38"/>
    <w:rsid w:val="0A953B58"/>
    <w:rsid w:val="105A46BB"/>
    <w:rsid w:val="14CC2EF2"/>
    <w:rsid w:val="174145C4"/>
    <w:rsid w:val="24DE3A8A"/>
    <w:rsid w:val="295977AD"/>
    <w:rsid w:val="2BA219D1"/>
    <w:rsid w:val="2F68321D"/>
    <w:rsid w:val="34CE61DD"/>
    <w:rsid w:val="3F3D628B"/>
    <w:rsid w:val="433E5DFA"/>
    <w:rsid w:val="46CD23B7"/>
    <w:rsid w:val="47BE4F54"/>
    <w:rsid w:val="4981067A"/>
    <w:rsid w:val="4FFD7664"/>
    <w:rsid w:val="51E155FD"/>
    <w:rsid w:val="592836CB"/>
    <w:rsid w:val="5A62529B"/>
    <w:rsid w:val="5CAE15E3"/>
    <w:rsid w:val="5CD44DDC"/>
    <w:rsid w:val="64045705"/>
    <w:rsid w:val="660D2ED6"/>
    <w:rsid w:val="675D7E8D"/>
    <w:rsid w:val="69DA6C4A"/>
    <w:rsid w:val="6F621BD6"/>
    <w:rsid w:val="717402AD"/>
    <w:rsid w:val="75091655"/>
    <w:rsid w:val="75175B38"/>
    <w:rsid w:val="762F0C47"/>
    <w:rsid w:val="7B934447"/>
    <w:rsid w:val="7CBE4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5"/>
      <w:szCs w:val="35"/>
      <w:lang w:val="en-US" w:eastAsia="en-US" w:bidi="ar-SA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3135</Words>
  <Characters>3171</Characters>
  <Lines>0</Lines>
  <Paragraphs>0</Paragraphs>
  <TotalTime>2</TotalTime>
  <ScaleCrop>false</ScaleCrop>
  <LinksUpToDate>false</LinksUpToDate>
  <CharactersWithSpaces>3217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2024-08-08T04:05:00Z</dcterms:created>
  <dc:creator>黄峰</dc:creator>
  <cp:lastModifiedBy>ZTL</cp:lastModifiedBy>
  <dcterms:modified xsi:type="dcterms:W3CDTF">2025-11-20T02:05:38Z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C1C319B67F5E4BC892225E929B12B55E_13</vt:lpwstr>
  </property>
  <property fmtid="{D5CDD505-2E9C-101B-9397-08002B2CF9AE}" pid="4" name="KSOTemplateDocerSaveRecord">
    <vt:lpwstr>eyJoZGlkIjoiZjVhMTJiZGViZmY0YmYwYjcwZDk3NDk5NjEyOGJjYWEiLCJ1c2VySWQiOiIzNzY1MzU5MjcifQ==</vt:lpwstr>
  </property>
</Properties>
</file>