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hAnsi="宋体" w:cs="宋体"/>
          <w:b/>
          <w:bCs/>
          <w:sz w:val="48"/>
          <w:szCs w:val="48"/>
        </w:rPr>
        <w:t>商</w:t>
      </w:r>
      <w:r>
        <w:rPr>
          <w:rFonts w:ascii="宋体" w:hAnsi="宋体" w:cs="宋体"/>
          <w:b/>
          <w:bCs/>
          <w:sz w:val="48"/>
          <w:szCs w:val="48"/>
        </w:rPr>
        <w:t xml:space="preserve"> </w:t>
      </w:r>
      <w:r>
        <w:rPr>
          <w:rFonts w:hint="eastAsia" w:ascii="宋体" w:hAnsi="宋体" w:cs="宋体"/>
          <w:b/>
          <w:bCs/>
          <w:sz w:val="48"/>
          <w:szCs w:val="48"/>
        </w:rPr>
        <w:t>品</w:t>
      </w:r>
      <w:r>
        <w:rPr>
          <w:rFonts w:ascii="宋体" w:hAnsi="宋体" w:cs="宋体"/>
          <w:b/>
          <w:bCs/>
          <w:sz w:val="48"/>
          <w:szCs w:val="48"/>
        </w:rPr>
        <w:t xml:space="preserve"> </w:t>
      </w:r>
      <w:r>
        <w:rPr>
          <w:rFonts w:hint="eastAsia" w:ascii="宋体" w:hAnsi="宋体" w:cs="宋体"/>
          <w:b/>
          <w:bCs/>
          <w:sz w:val="48"/>
          <w:szCs w:val="48"/>
        </w:rPr>
        <w:t>房</w:t>
      </w:r>
      <w:r>
        <w:rPr>
          <w:rFonts w:ascii="宋体" w:hAnsi="宋体" w:cs="宋体"/>
          <w:b/>
          <w:bCs/>
          <w:sz w:val="48"/>
          <w:szCs w:val="48"/>
        </w:rPr>
        <w:t xml:space="preserve"> </w:t>
      </w:r>
      <w:r>
        <w:rPr>
          <w:rFonts w:hint="eastAsia" w:ascii="宋体" w:hAnsi="宋体" w:cs="宋体"/>
          <w:b/>
          <w:bCs/>
          <w:sz w:val="48"/>
          <w:szCs w:val="48"/>
        </w:rPr>
        <w:t>预</w:t>
      </w:r>
      <w:r>
        <w:rPr>
          <w:rFonts w:ascii="宋体" w:hAnsi="宋体" w:cs="宋体"/>
          <w:b/>
          <w:bCs/>
          <w:sz w:val="48"/>
          <w:szCs w:val="48"/>
        </w:rPr>
        <w:t xml:space="preserve"> </w:t>
      </w:r>
      <w:r>
        <w:rPr>
          <w:rFonts w:hint="eastAsia" w:ascii="宋体" w:hAnsi="宋体" w:cs="宋体"/>
          <w:b/>
          <w:bCs/>
          <w:sz w:val="48"/>
          <w:szCs w:val="48"/>
        </w:rPr>
        <w:t>售</w:t>
      </w:r>
      <w:r>
        <w:rPr>
          <w:rFonts w:ascii="宋体" w:hAnsi="宋体" w:cs="宋体"/>
          <w:b/>
          <w:bCs/>
          <w:sz w:val="48"/>
          <w:szCs w:val="48"/>
        </w:rPr>
        <w:t xml:space="preserve"> </w:t>
      </w:r>
      <w:r>
        <w:rPr>
          <w:rFonts w:hint="eastAsia" w:ascii="宋体" w:hAnsi="宋体" w:cs="宋体"/>
          <w:b/>
          <w:bCs/>
          <w:sz w:val="48"/>
          <w:szCs w:val="48"/>
        </w:rPr>
        <w:t>方</w:t>
      </w:r>
      <w:r>
        <w:rPr>
          <w:rFonts w:ascii="宋体" w:hAnsi="宋体" w:cs="宋体"/>
          <w:b/>
          <w:bCs/>
          <w:sz w:val="48"/>
          <w:szCs w:val="48"/>
        </w:rPr>
        <w:t xml:space="preserve"> </w:t>
      </w:r>
      <w:r>
        <w:rPr>
          <w:rFonts w:hint="eastAsia" w:ascii="宋体" w:hAnsi="宋体" w:cs="宋体"/>
          <w:b/>
          <w:bCs/>
          <w:sz w:val="48"/>
          <w:szCs w:val="48"/>
        </w:rPr>
        <w:t>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spacing w:line="480" w:lineRule="exact"/>
        <w:ind w:firstLine="1920" w:firstLineChars="600"/>
        <w:rPr>
          <w:rFonts w:cs="Times New Roman"/>
          <w:sz w:val="32"/>
          <w:szCs w:val="32"/>
          <w:u w:val="single"/>
        </w:rPr>
      </w:pPr>
      <w:r>
        <w:rPr>
          <w:rFonts w:hint="eastAsia" w:ascii="宋体" w:hAnsi="宋体" w:cs="宋体"/>
          <w:sz w:val="32"/>
          <w:szCs w:val="32"/>
        </w:rPr>
        <w:t>开发企业：</w:t>
      </w:r>
      <w:r>
        <w:rPr>
          <w:rFonts w:ascii="宋体" w:hAnsi="宋体" w:cs="宋体"/>
          <w:sz w:val="32"/>
          <w:szCs w:val="32"/>
          <w:u w:val="single"/>
        </w:rPr>
        <w:t xml:space="preserve">  </w:t>
      </w:r>
      <w:r>
        <w:rPr>
          <w:rFonts w:hint="eastAsia" w:ascii="宋体" w:hAnsi="宋体" w:cs="宋体"/>
          <w:sz w:val="32"/>
          <w:szCs w:val="32"/>
          <w:u w:val="single"/>
        </w:rPr>
        <w:t>内蒙古万家房地产开发有限公司</w:t>
      </w:r>
    </w:p>
    <w:p>
      <w:pPr>
        <w:tabs>
          <w:tab w:val="left" w:pos="2490"/>
        </w:tabs>
        <w:spacing w:line="480" w:lineRule="exact"/>
        <w:ind w:firstLine="1920" w:firstLineChars="600"/>
        <w:rPr>
          <w:rFonts w:cs="Times New Roman"/>
          <w:sz w:val="32"/>
          <w:szCs w:val="32"/>
          <w:u w:val="single"/>
        </w:rPr>
      </w:pPr>
      <w:r>
        <w:rPr>
          <w:rFonts w:hint="eastAsia" w:ascii="宋体" w:hAnsi="宋体" w:cs="宋体"/>
          <w:sz w:val="32"/>
          <w:szCs w:val="32"/>
        </w:rPr>
        <w:t>项目名称：</w:t>
      </w:r>
      <w:r>
        <w:rPr>
          <w:rFonts w:ascii="宋体" w:hAnsi="宋体" w:cs="宋体"/>
          <w:sz w:val="32"/>
          <w:szCs w:val="32"/>
          <w:u w:val="single"/>
        </w:rPr>
        <w:t xml:space="preserve">  </w:t>
      </w:r>
      <w:r>
        <w:rPr>
          <w:rFonts w:hint="eastAsia" w:ascii="宋体" w:hAnsi="宋体" w:cs="宋体"/>
          <w:sz w:val="32"/>
          <w:szCs w:val="32"/>
          <w:u w:val="single"/>
        </w:rPr>
        <w:t>金泰隆棠小区</w:t>
      </w:r>
      <w:r>
        <w:rPr>
          <w:rFonts w:ascii="宋体" w:hAnsi="宋体" w:cs="宋体"/>
          <w:sz w:val="32"/>
          <w:szCs w:val="32"/>
          <w:u w:val="single"/>
        </w:rPr>
        <w:t xml:space="preserve">                </w:t>
      </w:r>
    </w:p>
    <w:p>
      <w:pPr>
        <w:spacing w:line="480" w:lineRule="exact"/>
        <w:jc w:val="center"/>
        <w:rPr>
          <w:rFonts w:cs="Times New Roman"/>
          <w:sz w:val="44"/>
          <w:szCs w:val="44"/>
        </w:rPr>
      </w:pPr>
    </w:p>
    <w:p>
      <w:pPr>
        <w:spacing w:line="480" w:lineRule="exact"/>
        <w:rPr>
          <w:rFonts w:ascii="黑体" w:hAnsi="黑体" w:eastAsia="黑体" w:cs="Times New Roman"/>
          <w:b/>
          <w:bCs/>
          <w:sz w:val="36"/>
          <w:szCs w:val="36"/>
        </w:rPr>
      </w:pPr>
    </w:p>
    <w:p>
      <w:pPr>
        <w:spacing w:line="480" w:lineRule="exact"/>
        <w:rPr>
          <w:rFonts w:ascii="黑体" w:hAnsi="黑体" w:eastAsia="黑体" w:cs="Times New Roman"/>
          <w:b/>
          <w:bCs/>
          <w:sz w:val="36"/>
          <w:szCs w:val="36"/>
        </w:rPr>
      </w:pPr>
    </w:p>
    <w:p>
      <w:pPr>
        <w:spacing w:line="480" w:lineRule="exact"/>
        <w:rPr>
          <w:rFonts w:ascii="黑体" w:hAnsi="黑体" w:eastAsia="黑体" w:cs="Times New Roman"/>
          <w:b/>
          <w:bCs/>
          <w:sz w:val="36"/>
          <w:szCs w:val="36"/>
        </w:rPr>
      </w:pPr>
    </w:p>
    <w:p>
      <w:pPr>
        <w:spacing w:line="480" w:lineRule="exact"/>
        <w:rPr>
          <w:rFonts w:ascii="黑体" w:hAnsi="黑体" w:eastAsia="黑体" w:cs="Times New Roman"/>
          <w:b/>
          <w:bCs/>
          <w:sz w:val="36"/>
          <w:szCs w:val="36"/>
        </w:rPr>
      </w:pPr>
    </w:p>
    <w:p>
      <w:pPr>
        <w:spacing w:line="480" w:lineRule="exact"/>
        <w:rPr>
          <w:rFonts w:ascii="黑体" w:hAnsi="黑体" w:eastAsia="黑体" w:cs="Times New Roman"/>
          <w:b/>
          <w:bCs/>
          <w:sz w:val="36"/>
          <w:szCs w:val="36"/>
        </w:rPr>
      </w:pPr>
    </w:p>
    <w:p>
      <w:pPr>
        <w:spacing w:line="480" w:lineRule="exact"/>
        <w:jc w:val="center"/>
        <w:rPr>
          <w:rFonts w:ascii="黑体" w:hAnsi="黑体" w:eastAsia="黑体" w:cs="黑体"/>
          <w:b/>
          <w:bCs/>
          <w:sz w:val="36"/>
          <w:szCs w:val="36"/>
        </w:rPr>
      </w:pPr>
    </w:p>
    <w:p>
      <w:pPr>
        <w:spacing w:line="480" w:lineRule="exact"/>
        <w:jc w:val="center"/>
        <w:rPr>
          <w:rFonts w:ascii="黑体" w:hAnsi="黑体" w:eastAsia="黑体" w:cs="黑体"/>
          <w:b/>
          <w:bCs/>
          <w:sz w:val="36"/>
          <w:szCs w:val="36"/>
        </w:rPr>
      </w:pPr>
      <w:r>
        <w:rPr>
          <w:rFonts w:hint="eastAsia" w:ascii="黑体" w:hAnsi="黑体" w:eastAsia="黑体" w:cs="黑体"/>
          <w:b/>
          <w:bCs/>
          <w:sz w:val="36"/>
          <w:szCs w:val="36"/>
        </w:rPr>
        <w:t>金泰隆棠小区项目预（销）售方案</w:t>
      </w:r>
    </w:p>
    <w:p>
      <w:pPr>
        <w:spacing w:line="480" w:lineRule="exact"/>
        <w:jc w:val="center"/>
        <w:rPr>
          <w:rFonts w:ascii="黑体" w:hAnsi="黑体" w:eastAsia="黑体" w:cs="黑体"/>
          <w:b/>
          <w:bCs/>
          <w:sz w:val="36"/>
          <w:szCs w:val="36"/>
        </w:rPr>
      </w:pP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ind w:firstLine="640" w:firstLineChars="200"/>
        <w:rPr>
          <w:rFonts w:ascii="仿宋" w:hAnsi="仿宋" w:eastAsia="仿宋" w:cs="仿宋"/>
          <w:sz w:val="32"/>
          <w:szCs w:val="32"/>
        </w:rPr>
      </w:pPr>
      <w:r>
        <w:rPr>
          <w:rFonts w:hint="eastAsia" w:ascii="仿宋" w:hAnsi="仿宋" w:eastAsia="仿宋" w:cs="仿宋"/>
          <w:sz w:val="32"/>
          <w:szCs w:val="32"/>
        </w:rPr>
        <w:t>内蒙古万家房地产开发有限公司开发建设的金泰隆棠小区项目位于赤峰市松山区友谊大街南、松州路西、松源街北、胜安路东围合地块。建设用地面积47605.77平方米。土地性质为国有，土地取得方式为出让。土地用途为城镇住宅用地。土地使用年限住宅用地为70年，从自2023年07月20日起2093年07月19日。本项目容积率为2.31，绿化率为35%，建筑密度为20%,车位配比率为1:1。建筑结构类型为钢混结构。</w:t>
      </w:r>
    </w:p>
    <w:p>
      <w:pPr>
        <w:pStyle w:val="15"/>
        <w:spacing w:line="480" w:lineRule="exact"/>
        <w:ind w:left="630" w:firstLine="0" w:firstLineChars="0"/>
        <w:rPr>
          <w:rFonts w:ascii="仿宋" w:hAnsi="仿宋" w:eastAsia="仿宋" w:cs="仿宋"/>
          <w:b/>
          <w:bCs/>
          <w:sz w:val="32"/>
          <w:szCs w:val="32"/>
        </w:rPr>
      </w:pPr>
      <w:r>
        <w:rPr>
          <w:rFonts w:hint="eastAsia" w:ascii="仿宋" w:hAnsi="仿宋" w:eastAsia="仿宋" w:cs="仿宋"/>
          <w:b/>
          <w:bCs/>
          <w:sz w:val="32"/>
          <w:szCs w:val="32"/>
        </w:rPr>
        <w:t>二、建设进度安排及房屋交付时间</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开工日期：2023年8月9日；</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竣工日期：2025年8月9日；</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交付日期：预计于2025年8月30日之前交付使用。</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截止目前，该项目形象进度已完成1-1</w:t>
      </w:r>
      <w:r>
        <w:rPr>
          <w:rFonts w:hint="eastAsia" w:ascii="仿宋" w:hAnsi="仿宋" w:eastAsia="仿宋" w:cs="仿宋"/>
          <w:sz w:val="32"/>
          <w:szCs w:val="32"/>
          <w:lang w:val="en-US" w:eastAsia="zh-CN"/>
        </w:rPr>
        <w:t>2</w:t>
      </w:r>
      <w:r>
        <w:rPr>
          <w:rFonts w:hint="eastAsia" w:ascii="仿宋" w:hAnsi="仿宋" w:eastAsia="仿宋" w:cs="仿宋"/>
          <w:sz w:val="32"/>
          <w:szCs w:val="32"/>
        </w:rPr>
        <w:t>号楼</w:t>
      </w:r>
      <w:r>
        <w:rPr>
          <w:rFonts w:hint="eastAsia" w:ascii="仿宋" w:hAnsi="仿宋" w:eastAsia="仿宋" w:cs="仿宋"/>
          <w:sz w:val="32"/>
          <w:szCs w:val="32"/>
          <w:lang w:eastAsia="zh-CN"/>
        </w:rPr>
        <w:t>全部</w:t>
      </w:r>
      <w:r>
        <w:rPr>
          <w:rFonts w:hint="eastAsia" w:ascii="仿宋" w:hAnsi="仿宋" w:eastAsia="仿宋" w:cs="仿宋"/>
          <w:sz w:val="32"/>
          <w:szCs w:val="32"/>
        </w:rPr>
        <w:t>封顶，投资额度已达到</w:t>
      </w:r>
      <w:r>
        <w:rPr>
          <w:rFonts w:hint="eastAsia" w:ascii="仿宋" w:hAnsi="仿宋" w:eastAsia="仿宋" w:cs="仿宋"/>
          <w:sz w:val="32"/>
          <w:szCs w:val="32"/>
          <w:lang w:val="en-US" w:eastAsia="zh-CN"/>
        </w:rPr>
        <w:t>25</w:t>
      </w:r>
      <w:r>
        <w:rPr>
          <w:rFonts w:hint="eastAsia" w:ascii="仿宋" w:hAnsi="仿宋" w:eastAsia="仿宋" w:cs="仿宋"/>
          <w:sz w:val="32"/>
          <w:szCs w:val="32"/>
        </w:rPr>
        <w:t>%以上。</w:t>
      </w:r>
    </w:p>
    <w:p>
      <w:pPr>
        <w:pStyle w:val="15"/>
        <w:spacing w:line="480" w:lineRule="exact"/>
        <w:ind w:left="630" w:firstLine="0" w:firstLineChars="0"/>
        <w:rPr>
          <w:rFonts w:ascii="仿宋" w:hAnsi="仿宋" w:eastAsia="仿宋" w:cs="仿宋"/>
          <w:b/>
          <w:bCs/>
          <w:sz w:val="32"/>
          <w:szCs w:val="32"/>
        </w:rPr>
      </w:pPr>
      <w:r>
        <w:rPr>
          <w:rFonts w:hint="eastAsia" w:ascii="仿宋" w:hAnsi="仿宋" w:eastAsia="仿宋" w:cs="仿宋"/>
          <w:b/>
          <w:bCs/>
          <w:sz w:val="32"/>
          <w:szCs w:val="32"/>
        </w:rPr>
        <w:t>三、商品房装饰、设备交付标准</w:t>
      </w:r>
    </w:p>
    <w:p>
      <w:pPr>
        <w:spacing w:line="480" w:lineRule="exact"/>
        <w:ind w:firstLine="643" w:firstLineChars="200"/>
        <w:rPr>
          <w:rFonts w:ascii="仿宋" w:hAnsi="仿宋" w:eastAsia="仿宋" w:cs="仿宋"/>
          <w:color w:val="FF0000"/>
          <w:sz w:val="32"/>
          <w:szCs w:val="32"/>
        </w:rPr>
      </w:pPr>
      <w:r>
        <w:rPr>
          <w:rFonts w:hint="eastAsia" w:ascii="仿宋" w:hAnsi="仿宋" w:eastAsia="仿宋" w:cs="仿宋"/>
          <w:b/>
          <w:bCs/>
          <w:color w:val="FF0000"/>
          <w:sz w:val="32"/>
          <w:szCs w:val="32"/>
        </w:rPr>
        <w:t>住宅交付标准：</w:t>
      </w:r>
      <w:r>
        <w:rPr>
          <w:rFonts w:hint="eastAsia" w:ascii="仿宋" w:hAnsi="仿宋" w:eastAsia="仿宋" w:cs="仿宋"/>
          <w:color w:val="FF0000"/>
          <w:sz w:val="32"/>
          <w:szCs w:val="32"/>
        </w:rPr>
        <w:t>入户门为成品国标入户门（防火、防盗、保温、隔声）；屋内门为成品复合型套装门。窗为断桥铝合金框料；屋内墙混合砂浆、大白浆墙面；地面为陶瓷地砖地面；厨房、卫生间内墙为陶瓷面砖，地面为陶瓷地砖</w:t>
      </w:r>
      <w:r>
        <w:rPr>
          <w:rFonts w:hint="eastAsia" w:ascii="仿宋" w:hAnsi="仿宋" w:eastAsia="仿宋" w:cs="仿宋"/>
          <w:color w:val="FF0000"/>
          <w:sz w:val="32"/>
        </w:rPr>
        <w:t>地面；暖气为铸铁暖气片；室内灯具为</w:t>
      </w:r>
      <w:r>
        <w:rPr>
          <w:rFonts w:hint="eastAsia" w:ascii="仿宋" w:hAnsi="仿宋" w:eastAsia="仿宋" w:cs="仿宋"/>
          <w:color w:val="FF0000"/>
          <w:sz w:val="32"/>
          <w:u w:val="none"/>
        </w:rPr>
        <w:t>普通节能灯</w:t>
      </w:r>
      <w:r>
        <w:rPr>
          <w:rFonts w:hint="eastAsia" w:ascii="仿宋" w:hAnsi="仿宋" w:eastAsia="仿宋" w:cs="仿宋"/>
          <w:color w:val="FF0000"/>
          <w:sz w:val="32"/>
          <w:szCs w:val="32"/>
        </w:rPr>
        <w:t>；电话、有线电视、宽带室内设接口。</w:t>
      </w:r>
    </w:p>
    <w:p>
      <w:pPr>
        <w:spacing w:line="480" w:lineRule="exact"/>
        <w:ind w:firstLine="643" w:firstLineChars="200"/>
        <w:rPr>
          <w:rFonts w:ascii="仿宋" w:hAnsi="仿宋" w:eastAsia="仿宋" w:cs="仿宋"/>
          <w:color w:val="FF0000"/>
          <w:sz w:val="32"/>
          <w:szCs w:val="32"/>
        </w:rPr>
      </w:pPr>
      <w:r>
        <w:rPr>
          <w:rFonts w:hint="eastAsia" w:ascii="仿宋" w:hAnsi="仿宋" w:eastAsia="仿宋" w:cs="仿宋"/>
          <w:b/>
          <w:bCs/>
          <w:color w:val="FF0000"/>
          <w:sz w:val="32"/>
          <w:szCs w:val="32"/>
        </w:rPr>
        <w:t>商业交付标准</w:t>
      </w:r>
      <w:r>
        <w:rPr>
          <w:rFonts w:hint="eastAsia" w:ascii="仿宋" w:hAnsi="仿宋" w:eastAsia="仿宋" w:cs="仿宋"/>
          <w:color w:val="FF0000"/>
          <w:sz w:val="32"/>
          <w:szCs w:val="32"/>
        </w:rPr>
        <w:t>：商业门为金属框玻璃门；屋内墙大白浆内墙 ；地面为陶瓷地砖</w:t>
      </w:r>
      <w:r>
        <w:rPr>
          <w:rFonts w:hint="eastAsia" w:ascii="仿宋" w:hAnsi="仿宋" w:eastAsia="仿宋" w:cs="仿宋"/>
          <w:color w:val="FF0000"/>
          <w:sz w:val="32"/>
        </w:rPr>
        <w:t>；暖气为铸铁暖气片；室内灯具为</w:t>
      </w:r>
      <w:r>
        <w:rPr>
          <w:rFonts w:hint="eastAsia" w:ascii="仿宋" w:hAnsi="仿宋" w:eastAsia="仿宋" w:cs="仿宋"/>
          <w:color w:val="FF0000"/>
          <w:sz w:val="32"/>
          <w:u w:val="none"/>
        </w:rPr>
        <w:t>普通节能灯</w:t>
      </w:r>
      <w:r>
        <w:rPr>
          <w:rFonts w:hint="eastAsia" w:ascii="仿宋" w:hAnsi="仿宋" w:eastAsia="仿宋" w:cs="仿宋"/>
          <w:color w:val="FF0000"/>
          <w:sz w:val="32"/>
          <w:szCs w:val="32"/>
        </w:rPr>
        <w:t>；电话、宽带室为多媒体箱。</w:t>
      </w:r>
    </w:p>
    <w:p>
      <w:pPr>
        <w:spacing w:line="480" w:lineRule="exact"/>
        <w:ind w:firstLine="643" w:firstLineChars="200"/>
        <w:rPr>
          <w:rFonts w:ascii="仿宋" w:hAnsi="仿宋" w:eastAsia="仿宋" w:cs="仿宋"/>
          <w:b/>
          <w:bCs/>
          <w:color w:val="FF0000"/>
          <w:sz w:val="32"/>
          <w:szCs w:val="32"/>
        </w:rPr>
      </w:pPr>
      <w:r>
        <w:rPr>
          <w:rFonts w:hint="eastAsia" w:ascii="仿宋" w:hAnsi="仿宋" w:eastAsia="仿宋" w:cs="仿宋"/>
          <w:b/>
          <w:bCs/>
          <w:color w:val="FF0000"/>
          <w:sz w:val="32"/>
          <w:szCs w:val="32"/>
        </w:rPr>
        <w:t>仓库、交付标准：</w:t>
      </w:r>
      <w:r>
        <w:rPr>
          <w:rFonts w:hint="eastAsia" w:ascii="仿宋" w:hAnsi="仿宋" w:eastAsia="仿宋" w:cs="仿宋"/>
          <w:color w:val="FF0000"/>
          <w:sz w:val="32"/>
          <w:szCs w:val="32"/>
        </w:rPr>
        <w:t>墙面混合砂浆、大白浆墙面；地面为细石混凝土地面</w:t>
      </w:r>
      <w:r>
        <w:rPr>
          <w:rFonts w:hint="eastAsia" w:ascii="仿宋" w:hAnsi="仿宋" w:eastAsia="仿宋" w:cs="仿宋"/>
          <w:color w:val="FF0000"/>
          <w:sz w:val="32"/>
        </w:rPr>
        <w:t>；室内灯具为</w:t>
      </w:r>
      <w:r>
        <w:rPr>
          <w:rFonts w:hint="eastAsia" w:ascii="仿宋" w:hAnsi="仿宋" w:eastAsia="仿宋" w:cs="仿宋"/>
          <w:color w:val="FF0000"/>
          <w:sz w:val="32"/>
          <w:u w:val="none"/>
        </w:rPr>
        <w:t>普通节能灯</w:t>
      </w:r>
      <w:r>
        <w:rPr>
          <w:rFonts w:hint="eastAsia" w:ascii="仿宋" w:hAnsi="仿宋" w:eastAsia="仿宋" w:cs="仿宋"/>
          <w:color w:val="FF0000"/>
          <w:sz w:val="32"/>
          <w:szCs w:val="32"/>
        </w:rPr>
        <w:t xml:space="preserve"> ；门为普通防盗门。</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本项目按照内建房[2013]373号及赤建发房字[2014]5号文件执行全装修住宅开发建设要求、面积、比例等内容。全装修采用菜单式集体委托方式进行，由购房者选择装修方案后，委托开发建设单位进行装修。我公司与购房者签订委托装修协议。协议中将明确全装修房屋的房号、面积、装修的标准和选用部品、部件、材料的品牌以及装修费用预算。</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（具体交付标准见附件1：金泰隆棠小区商品房装饰、设备交付标准）。</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四、预售房屋套数、面积预测及分摊情况、公共部位和公共设施的具体范围（数据来源于[2023]赤房测实预测字第013号商品房测绘成果报告书及建施图纸）</w:t>
      </w:r>
    </w:p>
    <w:p>
      <w:pPr>
        <w:spacing w:line="480" w:lineRule="exact"/>
        <w:ind w:firstLine="640" w:firstLineChars="200"/>
        <w:rPr>
          <w:rFonts w:ascii="仿宋" w:hAnsi="仿宋" w:eastAsia="仿宋" w:cs="仿宋"/>
          <w:color w:val="00B0F0"/>
          <w:sz w:val="32"/>
          <w:szCs w:val="32"/>
        </w:rPr>
      </w:pPr>
      <w:r>
        <w:rPr>
          <w:rFonts w:hint="eastAsia" w:ascii="仿宋" w:hAnsi="仿宋" w:eastAsia="仿宋" w:cs="仿宋"/>
          <w:sz w:val="32"/>
          <w:szCs w:val="32"/>
        </w:rPr>
        <w:t>（一）预售房屋套数、面积预测及分摊情况</w:t>
      </w:r>
    </w:p>
    <w:p>
      <w:pPr>
        <w:spacing w:line="480" w:lineRule="exact"/>
        <w:ind w:firstLine="640" w:firstLineChars="200"/>
        <w:rPr>
          <w:rFonts w:ascii="仿宋" w:hAnsi="仿宋" w:eastAsia="仿宋" w:cs="仿宋"/>
          <w:b/>
          <w:bCs/>
          <w:sz w:val="32"/>
          <w:szCs w:val="32"/>
        </w:rPr>
      </w:pPr>
      <w:r>
        <w:rPr>
          <w:rFonts w:hint="eastAsia" w:ascii="仿宋" w:hAnsi="仿宋" w:eastAsia="仿宋" w:cs="仿宋"/>
          <w:sz w:val="32"/>
          <w:szCs w:val="32"/>
        </w:rPr>
        <w:t>本项目共开发商品房12幢，规划建筑面积为155619.27平方米（其中含地下面积41881.70平方米）。本次申请办理商品房预（销）售许可为1-12号楼及地下车库。房屋测绘暂测总建筑面积为155619.27平方米。总套数 ：2411套。</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本次申请预售总套数为221</w:t>
      </w:r>
      <w:r>
        <w:rPr>
          <w:rFonts w:hint="eastAsia" w:ascii="仿宋" w:hAnsi="仿宋" w:eastAsia="仿宋" w:cs="仿宋"/>
          <w:sz w:val="32"/>
          <w:szCs w:val="32"/>
          <w:lang w:val="en-US" w:eastAsia="zh-CN"/>
        </w:rPr>
        <w:t>5</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137413.19</w:t>
      </w:r>
      <w:r>
        <w:rPr>
          <w:rFonts w:hint="eastAsia" w:ascii="仿宋" w:hAnsi="仿宋" w:eastAsia="仿宋" w:cs="仿宋"/>
          <w:sz w:val="32"/>
          <w:szCs w:val="32"/>
        </w:rPr>
        <w:t>平方米（套内建筑面积为</w:t>
      </w:r>
      <w:r>
        <w:rPr>
          <w:rFonts w:hint="eastAsia" w:ascii="仿宋" w:hAnsi="仿宋" w:eastAsia="仿宋" w:cs="仿宋"/>
          <w:kern w:val="0"/>
          <w:sz w:val="32"/>
          <w:szCs w:val="32"/>
          <w:lang w:val="en-US" w:eastAsia="zh-CN"/>
        </w:rPr>
        <w:t>100595.83</w:t>
      </w:r>
      <w:r>
        <w:rPr>
          <w:rFonts w:hint="eastAsia" w:ascii="仿宋" w:hAnsi="仿宋" w:eastAsia="仿宋" w:cs="仿宋"/>
          <w:sz w:val="32"/>
          <w:szCs w:val="32"/>
        </w:rPr>
        <w:t>平方米，公摊总面积为：</w:t>
      </w:r>
      <w:r>
        <w:rPr>
          <w:rFonts w:hint="eastAsia" w:ascii="仿宋" w:hAnsi="仿宋" w:eastAsia="仿宋" w:cs="仿宋"/>
          <w:sz w:val="32"/>
          <w:szCs w:val="32"/>
          <w:lang w:val="en-US" w:eastAsia="zh-CN"/>
        </w:rPr>
        <w:t>36817.36</w:t>
      </w:r>
      <w:r>
        <w:rPr>
          <w:rFonts w:hint="eastAsia" w:ascii="仿宋" w:hAnsi="仿宋" w:eastAsia="仿宋" w:cs="仿宋"/>
          <w:sz w:val="32"/>
          <w:szCs w:val="32"/>
        </w:rPr>
        <w:t>平方米）。</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其中</w:t>
      </w:r>
      <w:r>
        <w:rPr>
          <w:rFonts w:hint="eastAsia" w:ascii="仿宋" w:hAnsi="仿宋" w:eastAsia="仿宋" w:cs="仿宋"/>
          <w:sz w:val="32"/>
          <w:szCs w:val="32"/>
          <w:lang w:eastAsia="zh-CN"/>
        </w:rPr>
        <w:t>回迁</w:t>
      </w:r>
      <w:r>
        <w:rPr>
          <w:rFonts w:hint="eastAsia" w:ascii="仿宋" w:hAnsi="仿宋" w:eastAsia="仿宋" w:cs="仿宋"/>
          <w:sz w:val="32"/>
          <w:szCs w:val="32"/>
        </w:rPr>
        <w:t>住宅934套，建筑面积为</w:t>
      </w:r>
      <w:r>
        <w:rPr>
          <w:rFonts w:hint="eastAsia" w:ascii="仿宋" w:hAnsi="仿宋" w:eastAsia="仿宋" w:cs="仿宋"/>
          <w:kern w:val="0"/>
          <w:sz w:val="32"/>
          <w:szCs w:val="32"/>
          <w:highlight w:val="none"/>
        </w:rPr>
        <w:t>109006.66</w:t>
      </w:r>
      <w:r>
        <w:rPr>
          <w:rFonts w:hint="eastAsia" w:ascii="仿宋" w:hAnsi="仿宋" w:eastAsia="仿宋" w:cs="仿宋"/>
          <w:sz w:val="32"/>
          <w:szCs w:val="32"/>
        </w:rPr>
        <w:t>平方米, 套内建筑面积为85099.8平方米，公摊总面积为23906.86平方米）；</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对外销售</w:t>
      </w:r>
      <w:r>
        <w:rPr>
          <w:rFonts w:hint="eastAsia" w:ascii="仿宋" w:hAnsi="仿宋" w:eastAsia="仿宋" w:cs="仿宋"/>
          <w:sz w:val="32"/>
          <w:szCs w:val="32"/>
        </w:rPr>
        <w:t>商业</w:t>
      </w:r>
      <w:r>
        <w:rPr>
          <w:rFonts w:hint="eastAsia" w:ascii="仿宋" w:hAnsi="仿宋" w:eastAsia="仿宋" w:cs="仿宋"/>
          <w:sz w:val="32"/>
          <w:szCs w:val="32"/>
          <w:lang w:val="en-US" w:eastAsia="zh-CN"/>
        </w:rPr>
        <w:t>13</w:t>
      </w:r>
      <w:r>
        <w:rPr>
          <w:rFonts w:hint="eastAsia" w:ascii="仿宋" w:hAnsi="仿宋" w:eastAsia="仿宋" w:cs="仿宋"/>
          <w:sz w:val="32"/>
          <w:szCs w:val="32"/>
        </w:rPr>
        <w:t>套，建筑面积为</w:t>
      </w:r>
      <w:r>
        <w:rPr>
          <w:rFonts w:hint="eastAsia" w:ascii="仿宋" w:hAnsi="仿宋" w:eastAsia="仿宋" w:cs="仿宋"/>
          <w:kern w:val="0"/>
          <w:sz w:val="32"/>
          <w:szCs w:val="32"/>
          <w:highlight w:val="none"/>
          <w:lang w:val="en-US" w:eastAsia="zh-CN"/>
        </w:rPr>
        <w:t>2734.74</w:t>
      </w:r>
      <w:r>
        <w:rPr>
          <w:rFonts w:hint="eastAsia" w:ascii="仿宋" w:hAnsi="仿宋" w:eastAsia="仿宋" w:cs="仿宋"/>
          <w:sz w:val="32"/>
          <w:szCs w:val="32"/>
        </w:rPr>
        <w:t>平方米, 套内建筑面积为</w:t>
      </w:r>
      <w:r>
        <w:rPr>
          <w:rFonts w:hint="eastAsia" w:ascii="仿宋" w:hAnsi="仿宋" w:eastAsia="仿宋" w:cs="仿宋"/>
          <w:sz w:val="32"/>
          <w:szCs w:val="32"/>
          <w:lang w:val="en-US" w:eastAsia="zh-CN"/>
        </w:rPr>
        <w:t>24272.85</w:t>
      </w:r>
      <w:r>
        <w:rPr>
          <w:rFonts w:hint="eastAsia" w:ascii="仿宋" w:hAnsi="仿宋" w:eastAsia="仿宋" w:cs="仿宋"/>
          <w:sz w:val="32"/>
          <w:szCs w:val="32"/>
        </w:rPr>
        <w:t>平方米，公摊总面积为</w:t>
      </w:r>
      <w:r>
        <w:rPr>
          <w:rFonts w:hint="eastAsia" w:ascii="仿宋" w:hAnsi="仿宋" w:eastAsia="仿宋" w:cs="仿宋"/>
          <w:sz w:val="32"/>
          <w:szCs w:val="32"/>
          <w:lang w:val="en-US" w:eastAsia="zh-CN"/>
        </w:rPr>
        <w:t>261.89</w:t>
      </w:r>
      <w:r>
        <w:rPr>
          <w:rFonts w:hint="eastAsia" w:ascii="仿宋" w:hAnsi="仿宋" w:eastAsia="仿宋" w:cs="仿宋"/>
          <w:sz w:val="32"/>
          <w:szCs w:val="32"/>
        </w:rPr>
        <w:t>平方米）；</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对外销售</w:t>
      </w:r>
      <w:r>
        <w:rPr>
          <w:rFonts w:hint="eastAsia" w:ascii="仿宋" w:hAnsi="仿宋" w:eastAsia="仿宋" w:cs="仿宋"/>
          <w:sz w:val="32"/>
          <w:szCs w:val="32"/>
        </w:rPr>
        <w:t>车位663套，建筑面积为</w:t>
      </w:r>
      <w:r>
        <w:rPr>
          <w:rFonts w:hint="eastAsia" w:ascii="仿宋" w:hAnsi="仿宋" w:eastAsia="仿宋" w:cs="仿宋"/>
          <w:sz w:val="32"/>
          <w:szCs w:val="32"/>
          <w:highlight w:val="none"/>
        </w:rPr>
        <w:t>19388.3</w:t>
      </w:r>
      <w:r>
        <w:rPr>
          <w:rFonts w:hint="eastAsia" w:ascii="仿宋" w:hAnsi="仿宋" w:eastAsia="仿宋" w:cs="仿宋"/>
          <w:sz w:val="32"/>
          <w:szCs w:val="32"/>
        </w:rPr>
        <w:t xml:space="preserve">平方米(套内建筑面积为9203.52平方米，公摊总面积为10184.78平方米）；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lang w:eastAsia="zh-CN"/>
        </w:rPr>
        <w:t>对外销售</w:t>
      </w:r>
      <w:r>
        <w:rPr>
          <w:rFonts w:hint="eastAsia" w:ascii="仿宋" w:hAnsi="仿宋" w:eastAsia="仿宋" w:cs="仿宋"/>
          <w:sz w:val="32"/>
          <w:szCs w:val="32"/>
        </w:rPr>
        <w:t>仓库605套，建筑面积为</w:t>
      </w:r>
      <w:r>
        <w:rPr>
          <w:rFonts w:hint="eastAsia" w:ascii="仿宋" w:hAnsi="仿宋" w:eastAsia="仿宋" w:cs="仿宋"/>
          <w:sz w:val="32"/>
          <w:szCs w:val="32"/>
          <w:highlight w:val="none"/>
        </w:rPr>
        <w:t>6283.49</w:t>
      </w:r>
      <w:r>
        <w:rPr>
          <w:rFonts w:hint="eastAsia" w:ascii="仿宋" w:hAnsi="仿宋" w:eastAsia="仿宋" w:cs="仿宋"/>
          <w:sz w:val="32"/>
          <w:szCs w:val="32"/>
        </w:rPr>
        <w:t>平方米（套内建筑面积为3819.66平方米，公摊总面积为2463.83平方米）；</w:t>
      </w:r>
    </w:p>
    <w:p>
      <w:pPr>
        <w:spacing w:line="480" w:lineRule="exact"/>
        <w:ind w:firstLine="640" w:firstLineChars="200"/>
        <w:rPr>
          <w:rFonts w:ascii="仿宋" w:hAnsi="仿宋" w:eastAsia="仿宋" w:cs="仿宋"/>
          <w:sz w:val="32"/>
          <w:szCs w:val="32"/>
        </w:rPr>
      </w:pP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具体数据见下表：</w:t>
      </w:r>
    </w:p>
    <w:p>
      <w:pPr>
        <w:spacing w:line="480" w:lineRule="exact"/>
        <w:ind w:firstLine="3534" w:firstLineChars="1100"/>
        <w:jc w:val="both"/>
        <w:rPr>
          <w:rFonts w:hint="eastAsia" w:ascii="仿宋" w:hAnsi="仿宋" w:eastAsia="仿宋" w:cs="仿宋"/>
          <w:sz w:val="32"/>
          <w:szCs w:val="32"/>
        </w:rPr>
      </w:pPr>
      <w:r>
        <w:rPr>
          <w:rFonts w:hint="eastAsia" w:ascii="仿宋" w:hAnsi="仿宋" w:eastAsia="仿宋" w:cs="仿宋"/>
          <w:b/>
          <w:bCs/>
          <w:sz w:val="32"/>
          <w:szCs w:val="32"/>
          <w:highlight w:val="none"/>
          <w:lang w:eastAsia="zh-CN"/>
        </w:rPr>
        <w:t>回迁</w:t>
      </w:r>
      <w:r>
        <w:rPr>
          <w:rFonts w:hint="eastAsia" w:ascii="仿宋" w:hAnsi="仿宋" w:eastAsia="仿宋" w:cs="仿宋"/>
          <w:b/>
          <w:bCs/>
          <w:sz w:val="32"/>
          <w:szCs w:val="32"/>
          <w:highlight w:val="none"/>
        </w:rPr>
        <w:t>住宅面积统计表</w:t>
      </w:r>
    </w:p>
    <w:tbl>
      <w:tblPr>
        <w:tblStyle w:val="8"/>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667"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8"/>
                <w:szCs w:val="28"/>
              </w:rPr>
            </w:pPr>
            <w:r>
              <w:rPr>
                <w:rFonts w:hint="eastAsia" w:ascii="仿宋" w:hAnsi="仿宋" w:eastAsia="仿宋"/>
                <w:color w:val="000000"/>
                <w:sz w:val="28"/>
                <w:szCs w:val="28"/>
              </w:rPr>
              <w:t>1</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10094.70</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7807.20</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2287.50</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2</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8011.76</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6245.80</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1765.96</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ascii="宋体" w:hAnsi="宋体" w:cs="宋体"/>
                <w:color w:val="000000"/>
                <w:sz w:val="22"/>
                <w:szCs w:val="22"/>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3</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10757.44</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8327.68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2429.76</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4</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12473.58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9826.68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2646.90</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5</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12933.60</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10275.48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2658.12</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6</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8004.28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 xml:space="preserve">6245.80 </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1758.48</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7</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12473.58</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9826.68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2646.90</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8</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11419.24</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 xml:space="preserve">8848.16 </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 xml:space="preserve">2571.08 </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9</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11419.24</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 xml:space="preserve">8848.16 </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 xml:space="preserve">2571.08 </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宋体"/>
                <w:color w:val="000000"/>
                <w:sz w:val="28"/>
                <w:szCs w:val="28"/>
              </w:rPr>
            </w:pPr>
            <w:r>
              <w:rPr>
                <w:rFonts w:hint="eastAsia" w:ascii="仿宋" w:hAnsi="仿宋" w:eastAsia="仿宋"/>
                <w:color w:val="000000"/>
                <w:sz w:val="28"/>
                <w:szCs w:val="28"/>
              </w:rPr>
              <w:t>10</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11419.24</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 xml:space="preserve">8848.16 </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 xml:space="preserve">2571.08 </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宋体" w:hAnsi="宋体" w:cs="宋体"/>
                <w:color w:val="000000"/>
                <w:sz w:val="22"/>
                <w:szCs w:val="22"/>
              </w:rPr>
            </w:pPr>
            <w:r>
              <w:rPr>
                <w:rFonts w:hint="eastAsia"/>
                <w:color w:val="000000"/>
                <w:sz w:val="22"/>
                <w:szCs w:val="22"/>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olor w:val="000000"/>
                <w:sz w:val="28"/>
                <w:szCs w:val="28"/>
              </w:rPr>
            </w:pPr>
            <w:r>
              <w:rPr>
                <w:rFonts w:hint="eastAsia" w:ascii="仿宋" w:hAnsi="仿宋" w:eastAsia="仿宋"/>
                <w:color w:val="000000"/>
                <w:sz w:val="28"/>
                <w:szCs w:val="28"/>
              </w:rPr>
              <w:t>合计</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color w:val="000000"/>
                <w:sz w:val="22"/>
                <w:szCs w:val="22"/>
              </w:rPr>
            </w:pPr>
            <w:r>
              <w:rPr>
                <w:rFonts w:hint="eastAsia" w:ascii="宋体" w:hAnsi="宋体" w:cs="宋体"/>
                <w:color w:val="000000"/>
                <w:kern w:val="0"/>
                <w:sz w:val="22"/>
                <w:szCs w:val="22"/>
                <w:lang w:bidi="ar"/>
              </w:rPr>
              <w:t>109006.66</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color w:val="000000"/>
                <w:sz w:val="22"/>
                <w:szCs w:val="22"/>
              </w:rPr>
            </w:pPr>
            <w:r>
              <w:rPr>
                <w:rFonts w:hint="eastAsia" w:ascii="宋体" w:hAnsi="宋体" w:cs="宋体"/>
                <w:color w:val="000000"/>
                <w:kern w:val="0"/>
                <w:sz w:val="22"/>
                <w:szCs w:val="22"/>
                <w:lang w:bidi="ar"/>
              </w:rPr>
              <w:t>85099.8</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color w:val="000000"/>
                <w:sz w:val="22"/>
                <w:szCs w:val="22"/>
              </w:rPr>
            </w:pPr>
            <w:r>
              <w:rPr>
                <w:rFonts w:hint="eastAsia" w:ascii="宋体" w:hAnsi="宋体" w:cs="宋体"/>
                <w:color w:val="000000"/>
                <w:kern w:val="0"/>
                <w:sz w:val="22"/>
                <w:szCs w:val="22"/>
                <w:lang w:bidi="ar"/>
              </w:rPr>
              <w:t>23906.86</w:t>
            </w:r>
          </w:p>
        </w:tc>
        <w:tc>
          <w:tcPr>
            <w:tcW w:w="16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color w:val="000000"/>
                <w:sz w:val="22"/>
                <w:szCs w:val="22"/>
              </w:rPr>
            </w:pPr>
            <w:r>
              <w:rPr>
                <w:rFonts w:hint="eastAsia" w:ascii="宋体" w:hAnsi="宋体" w:cs="宋体"/>
                <w:color w:val="000000"/>
                <w:kern w:val="0"/>
                <w:sz w:val="22"/>
                <w:szCs w:val="22"/>
                <w:lang w:bidi="ar"/>
              </w:rPr>
              <w:t>934</w:t>
            </w:r>
          </w:p>
        </w:tc>
      </w:tr>
    </w:tbl>
    <w:p>
      <w:pPr>
        <w:spacing w:line="480" w:lineRule="exact"/>
        <w:jc w:val="center"/>
        <w:rPr>
          <w:rFonts w:ascii="仿宋" w:hAnsi="仿宋" w:eastAsia="仿宋" w:cs="Times New Roman"/>
          <w:sz w:val="32"/>
          <w:szCs w:val="32"/>
        </w:rPr>
      </w:pPr>
      <w:r>
        <w:rPr>
          <w:rFonts w:ascii="仿宋" w:hAnsi="仿宋" w:eastAsia="仿宋" w:cs="Times New Roman"/>
          <w:sz w:val="32"/>
          <w:szCs w:val="32"/>
        </w:rPr>
        <w:t xml:space="preserve"> </w:t>
      </w:r>
    </w:p>
    <w:p>
      <w:pPr>
        <w:spacing w:line="480" w:lineRule="exact"/>
        <w:rPr>
          <w:rFonts w:ascii="仿宋" w:hAnsi="仿宋" w:eastAsia="仿宋" w:cs="Times New Roman"/>
          <w:sz w:val="24"/>
          <w:szCs w:val="24"/>
        </w:rPr>
      </w:pPr>
    </w:p>
    <w:p>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拟销售商业面积统计表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11</w:t>
            </w:r>
          </w:p>
        </w:tc>
        <w:tc>
          <w:tcPr>
            <w:tcW w:w="2096"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311.05</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293.60</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17.45</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12</w:t>
            </w:r>
          </w:p>
        </w:tc>
        <w:tc>
          <w:tcPr>
            <w:tcW w:w="2096"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2423.69</w:t>
            </w:r>
          </w:p>
        </w:tc>
        <w:tc>
          <w:tcPr>
            <w:tcW w:w="1962"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2179.25</w:t>
            </w:r>
          </w:p>
        </w:tc>
        <w:tc>
          <w:tcPr>
            <w:tcW w:w="1998"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244.44</w:t>
            </w:r>
          </w:p>
        </w:tc>
        <w:tc>
          <w:tcPr>
            <w:tcW w:w="1162" w:type="dxa"/>
            <w:vAlign w:val="center"/>
          </w:tcPr>
          <w:p>
            <w:pPr>
              <w:widowControl/>
              <w:spacing w:line="480" w:lineRule="exact"/>
              <w:jc w:val="center"/>
              <w:rPr>
                <w:rFonts w:hint="eastAsia" w:ascii="仿宋" w:hAnsi="仿宋" w:eastAsia="仿宋" w:cs="Times New Roman"/>
                <w:kern w:val="0"/>
                <w:sz w:val="28"/>
                <w:szCs w:val="28"/>
                <w:lang w:eastAsia="zh-CN"/>
              </w:rPr>
            </w:pPr>
            <w:r>
              <w:rPr>
                <w:rFonts w:hint="eastAsia" w:ascii="仿宋" w:hAnsi="仿宋" w:eastAsia="仿宋" w:cs="Times New Roman"/>
                <w:kern w:val="0"/>
                <w:sz w:val="28"/>
                <w:szCs w:val="28"/>
              </w:rPr>
              <w:t>1</w:t>
            </w:r>
            <w:r>
              <w:rPr>
                <w:rFonts w:hint="eastAsia" w:ascii="仿宋" w:hAnsi="仿宋" w:eastAsia="仿宋" w:cs="Times New Roman"/>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合计</w:t>
            </w:r>
          </w:p>
        </w:tc>
        <w:tc>
          <w:tcPr>
            <w:tcW w:w="2096"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2734.74</w:t>
            </w:r>
          </w:p>
        </w:tc>
        <w:tc>
          <w:tcPr>
            <w:tcW w:w="1962"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2472.85</w:t>
            </w:r>
          </w:p>
        </w:tc>
        <w:tc>
          <w:tcPr>
            <w:tcW w:w="1998" w:type="dxa"/>
            <w:vAlign w:val="center"/>
          </w:tcPr>
          <w:p>
            <w:pPr>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261.89</w:t>
            </w:r>
          </w:p>
        </w:tc>
        <w:tc>
          <w:tcPr>
            <w:tcW w:w="1162" w:type="dxa"/>
            <w:vAlign w:val="center"/>
          </w:tcPr>
          <w:p>
            <w:pPr>
              <w:widowControl/>
              <w:spacing w:line="480" w:lineRule="exact"/>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13</w:t>
            </w:r>
          </w:p>
        </w:tc>
      </w:tr>
    </w:tbl>
    <w:p>
      <w:pPr>
        <w:spacing w:line="480" w:lineRule="exact"/>
        <w:rPr>
          <w:rFonts w:ascii="仿宋" w:hAnsi="仿宋" w:eastAsia="仿宋" w:cs="仿宋"/>
          <w:sz w:val="32"/>
          <w:szCs w:val="32"/>
        </w:rPr>
      </w:pPr>
    </w:p>
    <w:p>
      <w:pPr>
        <w:spacing w:line="480" w:lineRule="exact"/>
        <w:ind w:firstLine="2720" w:firstLineChars="850"/>
        <w:rPr>
          <w:rFonts w:ascii="仿宋" w:hAnsi="仿宋" w:eastAsia="仿宋" w:cs="仿宋"/>
          <w:sz w:val="32"/>
          <w:szCs w:val="32"/>
        </w:rPr>
      </w:pPr>
    </w:p>
    <w:p>
      <w:pPr>
        <w:spacing w:line="480" w:lineRule="exact"/>
        <w:jc w:val="center"/>
        <w:rPr>
          <w:rFonts w:hint="eastAsia" w:ascii="仿宋" w:hAnsi="仿宋" w:eastAsia="仿宋" w:cs="仿宋"/>
          <w:b/>
          <w:bCs/>
          <w:sz w:val="32"/>
          <w:szCs w:val="32"/>
        </w:rPr>
      </w:pPr>
      <w:r>
        <w:rPr>
          <w:rFonts w:hint="eastAsia" w:ascii="仿宋" w:hAnsi="仿宋" w:eastAsia="仿宋" w:cs="仿宋"/>
          <w:b/>
          <w:bCs/>
          <w:sz w:val="32"/>
          <w:szCs w:val="32"/>
        </w:rPr>
        <w:t>拟销售地下车库面积统计表</w:t>
      </w:r>
    </w:p>
    <w:p>
      <w:pPr>
        <w:spacing w:line="480" w:lineRule="exact"/>
        <w:rPr>
          <w:rFonts w:ascii="仿宋" w:hAnsi="仿宋" w:eastAsia="仿宋" w:cs="仿宋"/>
          <w:sz w:val="32"/>
          <w:szCs w:val="32"/>
        </w:rPr>
      </w:pPr>
    </w:p>
    <w:tbl>
      <w:tblPr>
        <w:tblStyle w:val="8"/>
        <w:tblW w:w="9513" w:type="dxa"/>
        <w:tblInd w:w="93" w:type="dxa"/>
        <w:tblLayout w:type="autofit"/>
        <w:tblCellMar>
          <w:top w:w="0" w:type="dxa"/>
          <w:left w:w="108" w:type="dxa"/>
          <w:bottom w:w="0" w:type="dxa"/>
          <w:right w:w="108" w:type="dxa"/>
        </w:tblCellMar>
      </w:tblPr>
      <w:tblGrid>
        <w:gridCol w:w="702"/>
        <w:gridCol w:w="1298"/>
        <w:gridCol w:w="1701"/>
        <w:gridCol w:w="1984"/>
        <w:gridCol w:w="1985"/>
        <w:gridCol w:w="1843"/>
      </w:tblGrid>
      <w:tr>
        <w:tblPrEx>
          <w:tblCellMar>
            <w:top w:w="0" w:type="dxa"/>
            <w:left w:w="108" w:type="dxa"/>
            <w:bottom w:w="0" w:type="dxa"/>
            <w:right w:w="108" w:type="dxa"/>
          </w:tblCellMar>
        </w:tblPrEx>
        <w:trPr>
          <w:trHeight w:val="758" w:hRule="atLeast"/>
        </w:trPr>
        <w:tc>
          <w:tcPr>
            <w:tcW w:w="70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楼号</w:t>
            </w:r>
          </w:p>
        </w:tc>
        <w:tc>
          <w:tcPr>
            <w:tcW w:w="129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用途</w:t>
            </w:r>
          </w:p>
        </w:tc>
        <w:tc>
          <w:tcPr>
            <w:tcW w:w="1701" w:type="dxa"/>
            <w:tcBorders>
              <w:top w:val="single" w:color="auto" w:sz="8" w:space="0"/>
              <w:left w:val="nil"/>
              <w:bottom w:val="nil"/>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建筑面积</w:t>
            </w:r>
          </w:p>
        </w:tc>
        <w:tc>
          <w:tcPr>
            <w:tcW w:w="1984" w:type="dxa"/>
            <w:tcBorders>
              <w:top w:val="single" w:color="auto" w:sz="8" w:space="0"/>
              <w:left w:val="nil"/>
              <w:bottom w:val="nil"/>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套内面积</w:t>
            </w:r>
          </w:p>
        </w:tc>
        <w:tc>
          <w:tcPr>
            <w:tcW w:w="1985" w:type="dxa"/>
            <w:tcBorders>
              <w:top w:val="single" w:color="auto" w:sz="8" w:space="0"/>
              <w:left w:val="nil"/>
              <w:bottom w:val="nil"/>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公摊面积</w:t>
            </w:r>
          </w:p>
        </w:tc>
        <w:tc>
          <w:tcPr>
            <w:tcW w:w="184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套数</w:t>
            </w:r>
          </w:p>
        </w:tc>
      </w:tr>
      <w:tr>
        <w:tblPrEx>
          <w:tblCellMar>
            <w:top w:w="0" w:type="dxa"/>
            <w:left w:w="108" w:type="dxa"/>
            <w:bottom w:w="0" w:type="dxa"/>
            <w:right w:w="108" w:type="dxa"/>
          </w:tblCellMar>
        </w:tblPrEx>
        <w:trPr>
          <w:trHeight w:val="592" w:hRule="atLeast"/>
        </w:trPr>
        <w:tc>
          <w:tcPr>
            <w:tcW w:w="702" w:type="dxa"/>
            <w:vMerge w:val="continue"/>
            <w:tcBorders>
              <w:top w:val="single" w:color="auto" w:sz="8" w:space="0"/>
              <w:left w:val="single" w:color="auto" w:sz="8" w:space="0"/>
              <w:bottom w:val="single" w:color="000000" w:sz="8" w:space="0"/>
              <w:right w:val="single" w:color="auto" w:sz="8" w:space="0"/>
            </w:tcBorders>
            <w:vAlign w:val="center"/>
          </w:tcPr>
          <w:p>
            <w:pPr>
              <w:spacing w:line="480" w:lineRule="exact"/>
              <w:jc w:val="center"/>
              <w:rPr>
                <w:rFonts w:ascii="仿宋" w:hAnsi="仿宋" w:eastAsia="仿宋" w:cs="仿宋"/>
                <w:kern w:val="0"/>
                <w:sz w:val="24"/>
                <w:szCs w:val="24"/>
              </w:rPr>
            </w:pPr>
          </w:p>
        </w:tc>
        <w:tc>
          <w:tcPr>
            <w:tcW w:w="1298" w:type="dxa"/>
            <w:vMerge w:val="continue"/>
            <w:tcBorders>
              <w:top w:val="single" w:color="auto" w:sz="8" w:space="0"/>
              <w:left w:val="single" w:color="auto" w:sz="8" w:space="0"/>
              <w:bottom w:val="single" w:color="000000" w:sz="8" w:space="0"/>
              <w:right w:val="single" w:color="auto" w:sz="8" w:space="0"/>
            </w:tcBorders>
            <w:vAlign w:val="center"/>
          </w:tcPr>
          <w:p>
            <w:pPr>
              <w:spacing w:line="480" w:lineRule="exact"/>
              <w:jc w:val="center"/>
              <w:rPr>
                <w:rFonts w:ascii="仿宋" w:hAnsi="仿宋" w:eastAsia="仿宋" w:cs="仿宋"/>
                <w:kern w:val="0"/>
                <w:sz w:val="24"/>
                <w:szCs w:val="24"/>
              </w:rPr>
            </w:pPr>
          </w:p>
        </w:tc>
        <w:tc>
          <w:tcPr>
            <w:tcW w:w="1701" w:type="dxa"/>
            <w:tcBorders>
              <w:top w:val="nil"/>
              <w:left w:val="nil"/>
              <w:bottom w:val="single" w:color="auto" w:sz="8" w:space="0"/>
              <w:right w:val="single" w:color="auto" w:sz="8" w:space="0"/>
            </w:tcBorders>
            <w:shd w:val="clear" w:color="auto" w:fill="auto"/>
            <w:vAlign w:val="center"/>
          </w:tcPr>
          <w:p>
            <w:pPr>
              <w:spacing w:line="480" w:lineRule="exact"/>
              <w:rPr>
                <w:rFonts w:ascii="仿宋" w:hAnsi="仿宋" w:eastAsia="仿宋" w:cs="仿宋"/>
                <w:kern w:val="0"/>
                <w:sz w:val="24"/>
                <w:szCs w:val="24"/>
              </w:rPr>
            </w:pPr>
            <w:r>
              <w:rPr>
                <w:rFonts w:hint="eastAsia" w:ascii="仿宋" w:hAnsi="仿宋" w:eastAsia="仿宋" w:cs="仿宋"/>
                <w:kern w:val="0"/>
                <w:sz w:val="24"/>
                <w:szCs w:val="24"/>
              </w:rPr>
              <w:t>（单位：㎡）</w:t>
            </w:r>
          </w:p>
        </w:tc>
        <w:tc>
          <w:tcPr>
            <w:tcW w:w="1984" w:type="dxa"/>
            <w:tcBorders>
              <w:top w:val="nil"/>
              <w:left w:val="nil"/>
              <w:bottom w:val="single" w:color="auto"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1985" w:type="dxa"/>
            <w:tcBorders>
              <w:top w:val="nil"/>
              <w:left w:val="nil"/>
              <w:bottom w:val="single" w:color="auto" w:sz="8" w:space="0"/>
              <w:right w:val="single" w:color="auto" w:sz="8" w:space="0"/>
            </w:tcBorders>
            <w:shd w:val="clear" w:color="auto" w:fill="auto"/>
            <w:vAlign w:val="center"/>
          </w:tcPr>
          <w:p>
            <w:pPr>
              <w:spacing w:line="480" w:lineRule="exact"/>
              <w:rPr>
                <w:rFonts w:ascii="仿宋" w:hAnsi="仿宋" w:eastAsia="仿宋" w:cs="仿宋"/>
                <w:kern w:val="0"/>
                <w:sz w:val="24"/>
                <w:szCs w:val="24"/>
              </w:rPr>
            </w:pPr>
            <w:r>
              <w:rPr>
                <w:rFonts w:hint="eastAsia" w:ascii="仿宋" w:hAnsi="仿宋" w:eastAsia="仿宋" w:cs="仿宋"/>
                <w:kern w:val="0"/>
                <w:sz w:val="24"/>
                <w:szCs w:val="24"/>
              </w:rPr>
              <w:t>（单位：㎡）</w:t>
            </w:r>
          </w:p>
        </w:tc>
        <w:tc>
          <w:tcPr>
            <w:tcW w:w="1843" w:type="dxa"/>
            <w:vMerge w:val="continue"/>
            <w:tcBorders>
              <w:top w:val="single" w:color="auto" w:sz="8" w:space="0"/>
              <w:left w:val="single" w:color="auto" w:sz="8" w:space="0"/>
              <w:bottom w:val="single" w:color="000000" w:sz="8" w:space="0"/>
              <w:right w:val="single" w:color="auto" w:sz="8" w:space="0"/>
            </w:tcBorders>
            <w:vAlign w:val="center"/>
          </w:tcPr>
          <w:p>
            <w:pPr>
              <w:spacing w:line="48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trHeight w:val="554" w:hRule="atLeast"/>
        </w:trPr>
        <w:tc>
          <w:tcPr>
            <w:tcW w:w="702" w:type="dxa"/>
            <w:tcBorders>
              <w:top w:val="nil"/>
              <w:left w:val="single" w:color="auto" w:sz="8" w:space="0"/>
              <w:bottom w:val="nil"/>
              <w:right w:val="single" w:color="auto" w:sz="8" w:space="0"/>
            </w:tcBorders>
            <w:shd w:val="clear" w:color="auto" w:fill="auto"/>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地下车库</w:t>
            </w:r>
          </w:p>
        </w:tc>
        <w:tc>
          <w:tcPr>
            <w:tcW w:w="1298" w:type="dxa"/>
            <w:tcBorders>
              <w:top w:val="nil"/>
              <w:left w:val="nil"/>
              <w:bottom w:val="single" w:color="auto"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车位</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2"/>
                <w:szCs w:val="22"/>
              </w:rPr>
            </w:pPr>
            <w:r>
              <w:rPr>
                <w:rFonts w:hint="eastAsia"/>
                <w:sz w:val="22"/>
                <w:szCs w:val="22"/>
              </w:rPr>
              <w:t>19388.30</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2"/>
                <w:szCs w:val="22"/>
              </w:rPr>
            </w:pPr>
            <w:r>
              <w:rPr>
                <w:rFonts w:hint="eastAsia"/>
                <w:sz w:val="22"/>
                <w:szCs w:val="22"/>
              </w:rPr>
              <w:t>9203.52</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22"/>
                <w:szCs w:val="22"/>
              </w:rPr>
            </w:pPr>
            <w:r>
              <w:rPr>
                <w:rFonts w:hint="eastAsia"/>
                <w:sz w:val="22"/>
                <w:szCs w:val="22"/>
              </w:rPr>
              <w:t>10184.78</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663</w:t>
            </w:r>
          </w:p>
        </w:tc>
      </w:tr>
      <w:tr>
        <w:tblPrEx>
          <w:tblCellMar>
            <w:top w:w="0" w:type="dxa"/>
            <w:left w:w="108" w:type="dxa"/>
            <w:bottom w:w="0" w:type="dxa"/>
            <w:right w:w="108" w:type="dxa"/>
          </w:tblCellMar>
        </w:tblPrEx>
        <w:trPr>
          <w:trHeight w:val="390" w:hRule="atLeast"/>
        </w:trPr>
        <w:tc>
          <w:tcPr>
            <w:tcW w:w="2000"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合计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4"/>
                <w:szCs w:val="24"/>
              </w:rPr>
            </w:pPr>
            <w:r>
              <w:rPr>
                <w:rFonts w:hint="eastAsia"/>
                <w:sz w:val="22"/>
                <w:szCs w:val="22"/>
              </w:rPr>
              <w:t>19388.30</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4"/>
                <w:szCs w:val="24"/>
              </w:rPr>
            </w:pPr>
            <w:r>
              <w:rPr>
                <w:rFonts w:hint="eastAsia"/>
                <w:sz w:val="22"/>
                <w:szCs w:val="22"/>
              </w:rPr>
              <w:t>9203.52</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4"/>
                <w:szCs w:val="24"/>
              </w:rPr>
            </w:pPr>
            <w:r>
              <w:rPr>
                <w:rFonts w:hint="eastAsia"/>
                <w:sz w:val="22"/>
                <w:szCs w:val="22"/>
              </w:rPr>
              <w:t>10184.78</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sz w:val="24"/>
                <w:szCs w:val="24"/>
              </w:rPr>
            </w:pPr>
            <w:r>
              <w:rPr>
                <w:rFonts w:hint="eastAsia" w:ascii="仿宋" w:hAnsi="仿宋" w:eastAsia="仿宋" w:cs="仿宋"/>
                <w:kern w:val="0"/>
                <w:sz w:val="24"/>
                <w:szCs w:val="24"/>
              </w:rPr>
              <w:t>663</w:t>
            </w:r>
          </w:p>
        </w:tc>
      </w:tr>
    </w:tbl>
    <w:p>
      <w:pPr>
        <w:spacing w:line="480" w:lineRule="exact"/>
        <w:rPr>
          <w:rFonts w:ascii="仿宋" w:hAnsi="仿宋" w:eastAsia="仿宋" w:cs="Times New Roman"/>
          <w:sz w:val="32"/>
          <w:szCs w:val="32"/>
        </w:rPr>
      </w:pPr>
    </w:p>
    <w:p>
      <w:pPr>
        <w:spacing w:line="480" w:lineRule="exact"/>
        <w:jc w:val="center"/>
        <w:rPr>
          <w:rFonts w:hint="eastAsia" w:ascii="仿宋" w:hAnsi="仿宋" w:eastAsia="仿宋" w:cs="仿宋"/>
          <w:b/>
          <w:bCs/>
          <w:sz w:val="32"/>
          <w:szCs w:val="32"/>
        </w:rPr>
      </w:pPr>
      <w:r>
        <w:rPr>
          <w:rFonts w:hint="eastAsia" w:ascii="仿宋" w:hAnsi="仿宋" w:eastAsia="仿宋" w:cs="仿宋"/>
          <w:b/>
          <w:bCs/>
          <w:sz w:val="32"/>
          <w:szCs w:val="32"/>
        </w:rPr>
        <w:t>拟销售地下车库面积统计表</w:t>
      </w:r>
    </w:p>
    <w:p>
      <w:pPr>
        <w:spacing w:line="480" w:lineRule="exact"/>
        <w:jc w:val="center"/>
        <w:rPr>
          <w:rFonts w:hint="eastAsia" w:ascii="仿宋" w:hAnsi="仿宋" w:eastAsia="仿宋" w:cs="仿宋"/>
          <w:b/>
          <w:bCs/>
          <w:sz w:val="32"/>
          <w:szCs w:val="32"/>
        </w:rPr>
      </w:pPr>
    </w:p>
    <w:tbl>
      <w:tblPr>
        <w:tblStyle w:val="8"/>
        <w:tblW w:w="9513" w:type="dxa"/>
        <w:tblInd w:w="93" w:type="dxa"/>
        <w:tblLayout w:type="autofit"/>
        <w:tblCellMar>
          <w:top w:w="0" w:type="dxa"/>
          <w:left w:w="108" w:type="dxa"/>
          <w:bottom w:w="0" w:type="dxa"/>
          <w:right w:w="108" w:type="dxa"/>
        </w:tblCellMar>
      </w:tblPr>
      <w:tblGrid>
        <w:gridCol w:w="702"/>
        <w:gridCol w:w="1298"/>
        <w:gridCol w:w="1701"/>
        <w:gridCol w:w="1984"/>
        <w:gridCol w:w="1985"/>
        <w:gridCol w:w="1843"/>
      </w:tblGrid>
      <w:tr>
        <w:tblPrEx>
          <w:tblCellMar>
            <w:top w:w="0" w:type="dxa"/>
            <w:left w:w="108" w:type="dxa"/>
            <w:bottom w:w="0" w:type="dxa"/>
            <w:right w:w="108" w:type="dxa"/>
          </w:tblCellMar>
        </w:tblPrEx>
        <w:trPr>
          <w:trHeight w:val="758" w:hRule="atLeast"/>
        </w:trPr>
        <w:tc>
          <w:tcPr>
            <w:tcW w:w="702"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楼号</w:t>
            </w:r>
          </w:p>
        </w:tc>
        <w:tc>
          <w:tcPr>
            <w:tcW w:w="129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用途</w:t>
            </w:r>
          </w:p>
        </w:tc>
        <w:tc>
          <w:tcPr>
            <w:tcW w:w="1701" w:type="dxa"/>
            <w:tcBorders>
              <w:top w:val="single" w:color="auto" w:sz="8" w:space="0"/>
              <w:left w:val="nil"/>
              <w:bottom w:val="nil"/>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建筑面积</w:t>
            </w:r>
          </w:p>
        </w:tc>
        <w:tc>
          <w:tcPr>
            <w:tcW w:w="1984" w:type="dxa"/>
            <w:tcBorders>
              <w:top w:val="single" w:color="auto" w:sz="8" w:space="0"/>
              <w:left w:val="nil"/>
              <w:bottom w:val="nil"/>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套内面积</w:t>
            </w:r>
          </w:p>
        </w:tc>
        <w:tc>
          <w:tcPr>
            <w:tcW w:w="1985" w:type="dxa"/>
            <w:tcBorders>
              <w:top w:val="single" w:color="auto" w:sz="8" w:space="0"/>
              <w:left w:val="nil"/>
              <w:bottom w:val="nil"/>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公摊面积</w:t>
            </w:r>
          </w:p>
        </w:tc>
        <w:tc>
          <w:tcPr>
            <w:tcW w:w="1843"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套数</w:t>
            </w:r>
          </w:p>
        </w:tc>
      </w:tr>
      <w:tr>
        <w:tblPrEx>
          <w:tblCellMar>
            <w:top w:w="0" w:type="dxa"/>
            <w:left w:w="108" w:type="dxa"/>
            <w:bottom w:w="0" w:type="dxa"/>
            <w:right w:w="108" w:type="dxa"/>
          </w:tblCellMar>
        </w:tblPrEx>
        <w:trPr>
          <w:trHeight w:val="592" w:hRule="atLeast"/>
        </w:trPr>
        <w:tc>
          <w:tcPr>
            <w:tcW w:w="702" w:type="dxa"/>
            <w:vMerge w:val="continue"/>
            <w:tcBorders>
              <w:top w:val="single" w:color="auto" w:sz="8" w:space="0"/>
              <w:left w:val="single" w:color="auto" w:sz="8" w:space="0"/>
              <w:bottom w:val="single" w:color="000000" w:sz="8" w:space="0"/>
              <w:right w:val="single" w:color="auto" w:sz="8" w:space="0"/>
            </w:tcBorders>
            <w:vAlign w:val="center"/>
          </w:tcPr>
          <w:p>
            <w:pPr>
              <w:spacing w:line="480" w:lineRule="exact"/>
              <w:jc w:val="center"/>
              <w:rPr>
                <w:rFonts w:ascii="仿宋" w:hAnsi="仿宋" w:eastAsia="仿宋" w:cs="仿宋"/>
                <w:kern w:val="0"/>
                <w:sz w:val="24"/>
                <w:szCs w:val="24"/>
              </w:rPr>
            </w:pPr>
          </w:p>
        </w:tc>
        <w:tc>
          <w:tcPr>
            <w:tcW w:w="1298" w:type="dxa"/>
            <w:vMerge w:val="continue"/>
            <w:tcBorders>
              <w:top w:val="single" w:color="auto" w:sz="8" w:space="0"/>
              <w:left w:val="single" w:color="auto" w:sz="8" w:space="0"/>
              <w:bottom w:val="single" w:color="000000" w:sz="8" w:space="0"/>
              <w:right w:val="single" w:color="auto" w:sz="8" w:space="0"/>
            </w:tcBorders>
            <w:vAlign w:val="center"/>
          </w:tcPr>
          <w:p>
            <w:pPr>
              <w:spacing w:line="480" w:lineRule="exact"/>
              <w:jc w:val="center"/>
              <w:rPr>
                <w:rFonts w:ascii="仿宋" w:hAnsi="仿宋" w:eastAsia="仿宋" w:cs="仿宋"/>
                <w:kern w:val="0"/>
                <w:sz w:val="24"/>
                <w:szCs w:val="24"/>
              </w:rPr>
            </w:pPr>
          </w:p>
        </w:tc>
        <w:tc>
          <w:tcPr>
            <w:tcW w:w="1701" w:type="dxa"/>
            <w:tcBorders>
              <w:top w:val="nil"/>
              <w:left w:val="nil"/>
              <w:bottom w:val="single" w:color="auto" w:sz="8" w:space="0"/>
              <w:right w:val="single" w:color="auto" w:sz="8" w:space="0"/>
            </w:tcBorders>
            <w:shd w:val="clear" w:color="auto" w:fill="auto"/>
            <w:vAlign w:val="center"/>
          </w:tcPr>
          <w:p>
            <w:pPr>
              <w:spacing w:line="480" w:lineRule="exact"/>
              <w:rPr>
                <w:rFonts w:ascii="仿宋" w:hAnsi="仿宋" w:eastAsia="仿宋" w:cs="仿宋"/>
                <w:kern w:val="0"/>
                <w:sz w:val="24"/>
                <w:szCs w:val="24"/>
              </w:rPr>
            </w:pPr>
            <w:r>
              <w:rPr>
                <w:rFonts w:hint="eastAsia" w:ascii="仿宋" w:hAnsi="仿宋" w:eastAsia="仿宋" w:cs="仿宋"/>
                <w:kern w:val="0"/>
                <w:sz w:val="24"/>
                <w:szCs w:val="24"/>
              </w:rPr>
              <w:t>（单位：㎡）</w:t>
            </w:r>
          </w:p>
        </w:tc>
        <w:tc>
          <w:tcPr>
            <w:tcW w:w="1984" w:type="dxa"/>
            <w:tcBorders>
              <w:top w:val="nil"/>
              <w:left w:val="nil"/>
              <w:bottom w:val="single" w:color="auto"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（单位：㎡）</w:t>
            </w:r>
          </w:p>
        </w:tc>
        <w:tc>
          <w:tcPr>
            <w:tcW w:w="1985" w:type="dxa"/>
            <w:tcBorders>
              <w:top w:val="nil"/>
              <w:left w:val="nil"/>
              <w:bottom w:val="single" w:color="auto" w:sz="8" w:space="0"/>
              <w:right w:val="single" w:color="auto" w:sz="8" w:space="0"/>
            </w:tcBorders>
            <w:shd w:val="clear" w:color="auto" w:fill="auto"/>
            <w:vAlign w:val="center"/>
          </w:tcPr>
          <w:p>
            <w:pPr>
              <w:spacing w:line="480" w:lineRule="exact"/>
              <w:rPr>
                <w:rFonts w:ascii="仿宋" w:hAnsi="仿宋" w:eastAsia="仿宋" w:cs="仿宋"/>
                <w:kern w:val="0"/>
                <w:sz w:val="24"/>
                <w:szCs w:val="24"/>
              </w:rPr>
            </w:pPr>
            <w:r>
              <w:rPr>
                <w:rFonts w:hint="eastAsia" w:ascii="仿宋" w:hAnsi="仿宋" w:eastAsia="仿宋" w:cs="仿宋"/>
                <w:kern w:val="0"/>
                <w:sz w:val="24"/>
                <w:szCs w:val="24"/>
              </w:rPr>
              <w:t>（单位：㎡）</w:t>
            </w:r>
          </w:p>
        </w:tc>
        <w:tc>
          <w:tcPr>
            <w:tcW w:w="1843" w:type="dxa"/>
            <w:vMerge w:val="continue"/>
            <w:tcBorders>
              <w:top w:val="single" w:color="auto" w:sz="8" w:space="0"/>
              <w:left w:val="single" w:color="auto" w:sz="8" w:space="0"/>
              <w:bottom w:val="single" w:color="000000" w:sz="8" w:space="0"/>
              <w:right w:val="single" w:color="auto" w:sz="8" w:space="0"/>
            </w:tcBorders>
            <w:vAlign w:val="center"/>
          </w:tcPr>
          <w:p>
            <w:pPr>
              <w:spacing w:line="480" w:lineRule="exact"/>
              <w:jc w:val="center"/>
              <w:rPr>
                <w:rFonts w:ascii="仿宋" w:hAnsi="仿宋" w:eastAsia="仿宋" w:cs="仿宋"/>
                <w:kern w:val="0"/>
                <w:sz w:val="24"/>
                <w:szCs w:val="24"/>
              </w:rPr>
            </w:pPr>
          </w:p>
        </w:tc>
      </w:tr>
      <w:tr>
        <w:tblPrEx>
          <w:tblCellMar>
            <w:top w:w="0" w:type="dxa"/>
            <w:left w:w="108" w:type="dxa"/>
            <w:bottom w:w="0" w:type="dxa"/>
            <w:right w:w="108" w:type="dxa"/>
          </w:tblCellMar>
        </w:tblPrEx>
        <w:trPr>
          <w:trHeight w:val="406" w:hRule="atLeast"/>
        </w:trPr>
        <w:tc>
          <w:tcPr>
            <w:tcW w:w="702" w:type="dxa"/>
            <w:vMerge w:val="continue"/>
            <w:tcBorders>
              <w:top w:val="nil"/>
              <w:left w:val="single" w:color="auto" w:sz="8" w:space="0"/>
              <w:bottom w:val="nil"/>
              <w:right w:val="single" w:color="auto" w:sz="8" w:space="0"/>
            </w:tcBorders>
            <w:vAlign w:val="center"/>
          </w:tcPr>
          <w:p>
            <w:pPr>
              <w:spacing w:line="480" w:lineRule="exact"/>
              <w:jc w:val="center"/>
              <w:rPr>
                <w:rFonts w:ascii="仿宋" w:hAnsi="仿宋" w:eastAsia="仿宋" w:cs="仿宋"/>
                <w:kern w:val="0"/>
                <w:sz w:val="24"/>
                <w:szCs w:val="24"/>
              </w:rPr>
            </w:pPr>
          </w:p>
        </w:tc>
        <w:tc>
          <w:tcPr>
            <w:tcW w:w="1298" w:type="dxa"/>
            <w:tcBorders>
              <w:top w:val="nil"/>
              <w:left w:val="nil"/>
              <w:bottom w:val="single" w:color="auto" w:sz="8" w:space="0"/>
              <w:right w:val="single" w:color="auto"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仓库</w:t>
            </w:r>
          </w:p>
        </w:tc>
        <w:tc>
          <w:tcPr>
            <w:tcW w:w="1701" w:type="dxa"/>
            <w:tcBorders>
              <w:top w:val="nil"/>
              <w:left w:val="single" w:color="auto" w:sz="4" w:space="0"/>
              <w:bottom w:val="single" w:color="auto" w:sz="4" w:space="0"/>
              <w:right w:val="single" w:color="auto" w:sz="4" w:space="0"/>
            </w:tcBorders>
            <w:shd w:val="clear" w:color="auto" w:fill="auto"/>
            <w:noWrap/>
            <w:vAlign w:val="center"/>
          </w:tcPr>
          <w:p>
            <w:pPr>
              <w:ind w:firstLine="420" w:firstLineChars="200"/>
              <w:rPr>
                <w:rFonts w:ascii="Times New Roman" w:hAnsi="Times New Roman" w:cs="Times New Roman"/>
                <w:sz w:val="24"/>
                <w:szCs w:val="24"/>
              </w:rPr>
            </w:pPr>
            <w:r>
              <w:rPr>
                <w:rFonts w:hint="eastAsia" w:ascii="Times New Roman" w:hAnsi="Times New Roman" w:cs="Times New Roman"/>
              </w:rPr>
              <w:t>6283.49</w:t>
            </w:r>
          </w:p>
        </w:tc>
        <w:tc>
          <w:tcPr>
            <w:tcW w:w="1984" w:type="dxa"/>
            <w:tcBorders>
              <w:top w:val="nil"/>
              <w:left w:val="nil"/>
              <w:bottom w:val="single" w:color="auto" w:sz="4" w:space="0"/>
              <w:right w:val="single" w:color="auto" w:sz="4" w:space="0"/>
            </w:tcBorders>
            <w:shd w:val="clear" w:color="auto" w:fill="auto"/>
            <w:noWrap/>
            <w:vAlign w:val="center"/>
          </w:tcPr>
          <w:p>
            <w:pPr>
              <w:ind w:firstLine="525" w:firstLineChars="250"/>
              <w:rPr>
                <w:rFonts w:ascii="Times New Roman" w:hAnsi="Times New Roman" w:cs="Times New Roman"/>
                <w:sz w:val="24"/>
                <w:szCs w:val="24"/>
              </w:rPr>
            </w:pPr>
            <w:r>
              <w:rPr>
                <w:rFonts w:hint="eastAsia" w:ascii="Times New Roman" w:hAnsi="Times New Roman" w:cs="Times New Roman"/>
              </w:rPr>
              <w:t>3819.66</w:t>
            </w:r>
          </w:p>
        </w:tc>
        <w:tc>
          <w:tcPr>
            <w:tcW w:w="1985" w:type="dxa"/>
            <w:tcBorders>
              <w:top w:val="nil"/>
              <w:left w:val="nil"/>
              <w:bottom w:val="single" w:color="auto" w:sz="4" w:space="0"/>
              <w:right w:val="single" w:color="auto" w:sz="4" w:space="0"/>
            </w:tcBorders>
            <w:shd w:val="clear" w:color="auto" w:fill="auto"/>
            <w:noWrap/>
            <w:vAlign w:val="center"/>
          </w:tcPr>
          <w:p>
            <w:pPr>
              <w:ind w:firstLine="525" w:firstLineChars="250"/>
              <w:rPr>
                <w:rFonts w:ascii="Times New Roman" w:hAnsi="Times New Roman" w:cs="Times New Roman"/>
                <w:sz w:val="24"/>
                <w:szCs w:val="24"/>
              </w:rPr>
            </w:pPr>
            <w:r>
              <w:rPr>
                <w:rFonts w:hint="eastAsia" w:ascii="Times New Roman" w:hAnsi="Times New Roman" w:cs="Times New Roman"/>
              </w:rPr>
              <w:t>2463.83</w:t>
            </w:r>
          </w:p>
        </w:tc>
        <w:tc>
          <w:tcPr>
            <w:tcW w:w="1843" w:type="dxa"/>
            <w:tcBorders>
              <w:top w:val="nil"/>
              <w:left w:val="nil"/>
              <w:bottom w:val="single" w:color="auto" w:sz="4" w:space="0"/>
              <w:right w:val="single" w:color="auto" w:sz="4" w:space="0"/>
            </w:tcBorders>
            <w:shd w:val="clear" w:color="auto" w:fill="auto"/>
            <w:noWrap/>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605</w:t>
            </w:r>
          </w:p>
        </w:tc>
      </w:tr>
      <w:tr>
        <w:tblPrEx>
          <w:tblCellMar>
            <w:top w:w="0" w:type="dxa"/>
            <w:left w:w="108" w:type="dxa"/>
            <w:bottom w:w="0" w:type="dxa"/>
            <w:right w:w="108" w:type="dxa"/>
          </w:tblCellMar>
        </w:tblPrEx>
        <w:trPr>
          <w:trHeight w:val="390" w:hRule="atLeast"/>
        </w:trPr>
        <w:tc>
          <w:tcPr>
            <w:tcW w:w="2000" w:type="dxa"/>
            <w:gridSpan w:val="2"/>
            <w:tcBorders>
              <w:top w:val="single" w:color="auto" w:sz="4" w:space="0"/>
              <w:left w:val="single" w:color="auto" w:sz="4" w:space="0"/>
              <w:bottom w:val="single" w:color="auto" w:sz="4" w:space="0"/>
              <w:right w:val="single" w:color="000000" w:sz="8" w:space="0"/>
            </w:tcBorders>
            <w:shd w:val="clear" w:color="auto" w:fill="auto"/>
            <w:vAlign w:val="center"/>
          </w:tcPr>
          <w:p>
            <w:pPr>
              <w:spacing w:line="480" w:lineRule="exact"/>
              <w:jc w:val="center"/>
              <w:rPr>
                <w:rFonts w:ascii="仿宋" w:hAnsi="仿宋" w:eastAsia="仿宋" w:cs="仿宋"/>
                <w:kern w:val="0"/>
                <w:sz w:val="24"/>
                <w:szCs w:val="24"/>
              </w:rPr>
            </w:pPr>
            <w:r>
              <w:rPr>
                <w:rFonts w:hint="eastAsia" w:ascii="仿宋" w:hAnsi="仿宋" w:eastAsia="仿宋" w:cs="仿宋"/>
                <w:kern w:val="0"/>
                <w:sz w:val="24"/>
                <w:szCs w:val="24"/>
              </w:rPr>
              <w:t>合计</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420" w:firstLineChars="200"/>
              <w:rPr>
                <w:rFonts w:ascii="仿宋" w:hAnsi="仿宋" w:eastAsia="仿宋" w:cs="宋体"/>
                <w:color w:val="000000"/>
                <w:sz w:val="24"/>
                <w:szCs w:val="24"/>
              </w:rPr>
            </w:pPr>
            <w:r>
              <w:rPr>
                <w:rFonts w:hint="eastAsia" w:ascii="Times New Roman" w:hAnsi="Times New Roman" w:cs="Times New Roman"/>
              </w:rPr>
              <w:t>6283.49</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ind w:firstLine="525" w:firstLineChars="250"/>
              <w:rPr>
                <w:rFonts w:ascii="仿宋" w:hAnsi="仿宋" w:eastAsia="仿宋" w:cs="宋体"/>
                <w:color w:val="000000"/>
                <w:sz w:val="24"/>
                <w:szCs w:val="24"/>
              </w:rPr>
            </w:pPr>
            <w:r>
              <w:rPr>
                <w:rFonts w:hint="eastAsia" w:ascii="Times New Roman" w:hAnsi="Times New Roman" w:cs="Times New Roman"/>
              </w:rPr>
              <w:t>3819.66</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ind w:firstLine="525" w:firstLineChars="250"/>
              <w:rPr>
                <w:rFonts w:ascii="仿宋" w:hAnsi="仿宋" w:eastAsia="仿宋" w:cs="宋体"/>
                <w:color w:val="000000"/>
                <w:sz w:val="24"/>
                <w:szCs w:val="24"/>
              </w:rPr>
            </w:pPr>
            <w:r>
              <w:rPr>
                <w:rFonts w:hint="eastAsia" w:ascii="Times New Roman" w:hAnsi="Times New Roman" w:cs="Times New Roman"/>
              </w:rPr>
              <w:t>2463.83</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cs="宋体"/>
                <w:color w:val="000000"/>
                <w:sz w:val="24"/>
                <w:szCs w:val="24"/>
                <w:lang w:val="en-US" w:eastAsia="zh-CN"/>
              </w:rPr>
            </w:pPr>
            <w:r>
              <w:rPr>
                <w:rFonts w:hint="eastAsia" w:ascii="宋体" w:hAnsi="宋体" w:eastAsia="仿宋" w:cs="宋体"/>
                <w:color w:val="000000"/>
                <w:kern w:val="0"/>
                <w:sz w:val="22"/>
                <w:szCs w:val="22"/>
                <w:lang w:val="en-US" w:eastAsia="zh-CN" w:bidi="ar"/>
              </w:rPr>
              <w:t>605</w:t>
            </w:r>
          </w:p>
        </w:tc>
      </w:tr>
    </w:tbl>
    <w:p>
      <w:pPr>
        <w:spacing w:line="480" w:lineRule="exact"/>
        <w:rPr>
          <w:rFonts w:ascii="楷体" w:hAnsi="楷体" w:eastAsia="楷体" w:cs="楷体"/>
          <w:b/>
          <w:bCs/>
          <w:sz w:val="32"/>
          <w:szCs w:val="32"/>
        </w:rPr>
      </w:pPr>
    </w:p>
    <w:p>
      <w:pPr>
        <w:spacing w:line="480" w:lineRule="exact"/>
        <w:rPr>
          <w:rFonts w:ascii="楷体" w:hAnsi="楷体" w:eastAsia="楷体" w:cs="楷体"/>
          <w:b/>
          <w:bCs/>
          <w:sz w:val="32"/>
          <w:szCs w:val="32"/>
        </w:rPr>
      </w:pP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（二）公共部位和公共设施的具体范围</w:t>
      </w:r>
    </w:p>
    <w:p>
      <w:pPr>
        <w:spacing w:line="48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1.无偿提供的物业用房、社区办公和活动用房</w:t>
      </w:r>
      <w:r>
        <w:rPr>
          <w:rFonts w:hint="eastAsia" w:ascii="仿宋" w:hAnsi="仿宋" w:eastAsia="仿宋" w:cs="仿宋"/>
          <w:b/>
          <w:bCs/>
          <w:sz w:val="32"/>
          <w:szCs w:val="32"/>
          <w:lang w:eastAsia="zh-CN"/>
        </w:rPr>
        <w:t>、社区养老用房。</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该项目实配物业用房500.19平方米。分别位于12号楼1-202 215.67平方米；12号楼1-203 175.37平方米；12号楼1-205 109.15平方米；业主委员会议事用房12号楼1-104 54.58平方米。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该项目实配社区办公和活动用房共509.97平方米，分别位于12号楼1-115  420.11平方米；12号楼 1-201 89.86平方米。</w:t>
      </w:r>
    </w:p>
    <w:p>
      <w:pPr>
        <w:spacing w:line="480" w:lineRule="exact"/>
        <w:ind w:firstLine="643" w:firstLineChars="200"/>
        <w:rPr>
          <w:rFonts w:hint="eastAsia" w:ascii="仿宋" w:hAnsi="仿宋" w:eastAsia="仿宋" w:cs="仿宋"/>
          <w:b/>
          <w:bCs/>
          <w:sz w:val="32"/>
          <w:szCs w:val="32"/>
        </w:rPr>
      </w:pP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2.其他公共配套建筑及“非卖/自留”房屋共1</w:t>
      </w:r>
      <w:r>
        <w:rPr>
          <w:rFonts w:hint="eastAsia" w:ascii="仿宋" w:hAnsi="仿宋" w:eastAsia="仿宋" w:cs="仿宋"/>
          <w:b/>
          <w:bCs/>
          <w:sz w:val="32"/>
          <w:szCs w:val="32"/>
          <w:lang w:val="en-US" w:eastAsia="zh-CN"/>
        </w:rPr>
        <w:t>96</w:t>
      </w:r>
      <w:r>
        <w:rPr>
          <w:rFonts w:hint="eastAsia" w:ascii="仿宋" w:hAnsi="仿宋" w:eastAsia="仿宋" w:cs="仿宋"/>
          <w:b/>
          <w:bCs/>
          <w:sz w:val="32"/>
          <w:szCs w:val="32"/>
        </w:rPr>
        <w:t>套，建筑面积</w:t>
      </w:r>
      <w:r>
        <w:rPr>
          <w:rFonts w:hint="eastAsia" w:ascii="仿宋" w:hAnsi="仿宋" w:eastAsia="仿宋" w:cs="仿宋"/>
          <w:b/>
          <w:bCs/>
          <w:sz w:val="32"/>
          <w:szCs w:val="32"/>
          <w:lang w:val="en-US" w:eastAsia="zh-CN"/>
        </w:rPr>
        <w:t>18206.08</w:t>
      </w:r>
      <w:r>
        <w:rPr>
          <w:rFonts w:hint="eastAsia" w:ascii="仿宋" w:hAnsi="仿宋" w:eastAsia="仿宋" w:cs="仿宋"/>
          <w:b/>
          <w:bCs/>
          <w:sz w:val="32"/>
          <w:szCs w:val="32"/>
        </w:rPr>
        <w:t>平方米。详细情况见下表：</w:t>
      </w:r>
    </w:p>
    <w:tbl>
      <w:tblPr>
        <w:tblStyle w:val="8"/>
        <w:tblW w:w="9732" w:type="dxa"/>
        <w:tblInd w:w="93" w:type="dxa"/>
        <w:tblLayout w:type="autofit"/>
        <w:tblCellMar>
          <w:top w:w="0" w:type="dxa"/>
          <w:left w:w="108" w:type="dxa"/>
          <w:bottom w:w="0" w:type="dxa"/>
          <w:right w:w="108" w:type="dxa"/>
        </w:tblCellMar>
      </w:tblPr>
      <w:tblGrid>
        <w:gridCol w:w="546"/>
        <w:gridCol w:w="1029"/>
        <w:gridCol w:w="1275"/>
        <w:gridCol w:w="1096"/>
        <w:gridCol w:w="1120"/>
        <w:gridCol w:w="1096"/>
        <w:gridCol w:w="2830"/>
        <w:gridCol w:w="740"/>
      </w:tblGrid>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iCs w:val="0"/>
                <w:color w:val="000000"/>
                <w:kern w:val="0"/>
                <w:sz w:val="22"/>
                <w:szCs w:val="22"/>
                <w:u w:val="none"/>
                <w:lang w:val="en-US" w:eastAsia="zh-CN" w:bidi="ar"/>
              </w:rPr>
              <w:t>序号</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楼号</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单元号记户号</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套内面积</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公摊面积</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建筑面积</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用途</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1-机房01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43.9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12.36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56.26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水箱间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1-110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236.26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243.93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社区养老用房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1-112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65.27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67.39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消防控制室</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1-114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65.61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71.03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公厕</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1-115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339.62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80.49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420.11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社区办公活动用房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51.25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38.61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89.86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社区办公活动用房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92.67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215.67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物业用房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1-204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31.13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23.45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54.58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业主委员会议事用房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62.25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46.9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109.15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物业用房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1-203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100.02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75.35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175.37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物业用房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门卫</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1-101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26.88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33.28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门卫</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17.82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19.72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37.54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B16--201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13.86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15.34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29.2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B20--201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224.75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224.75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不分摊共有建筑面积</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20.32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22.49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42.81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17.72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19.61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37.33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36.57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40.47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77.04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17.73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33.75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17.82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19.72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37.54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B20--202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38.14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38.14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不分摊共有建筑面积</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11.99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22.19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24.56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46.75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21.62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23.92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45.54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B20--203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354.54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354.54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不分摊共有建筑面积</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B7--203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21.62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23.92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45.54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B20--204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10198.18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10198.18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人防工程</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B2--204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18.41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20.37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38.78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B5--204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24.74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27.38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52.12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29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B9--204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9.62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18.31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20.94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23.17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44.11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20.24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20.62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22.82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43.44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B6--206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18.56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20.54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39.1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14.77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16.34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31.11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B2--207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18.05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19.97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38.02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B3--207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18.42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20.38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B15--208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12.55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13.89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26.44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39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B4--208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20.79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43.8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B6--208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27.33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52.03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B15--209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13.02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14.41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27.43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B2--210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22.96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25.41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48.37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B5--210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21.04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23.28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44.32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B2--211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18.04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19.96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B5--211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24.46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27.07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51.53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22.57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42.97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B10--214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18.55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20.53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39.08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B3--214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18.36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20.32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38.68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49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B19--215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14.82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31.22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21.64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23.95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45.59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20.79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43.8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B2--216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5.84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6.46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B5--216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20.94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23.17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44.11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B5--217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24.65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27.28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51.93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B4--218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20.79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43.8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B3--219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18.46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20.43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38.89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B1--220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B3--220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17.82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19.72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37.54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59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B4--220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B10--221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25.12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52.92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B4--221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22.57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42.97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B12--222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26.01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28.78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54.79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14.39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27.39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B1--225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17.72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19.61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37.33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B4--225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10.14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21.36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B1--226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18.16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38.26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B2--226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18.18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B5--226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8.64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9.56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69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B9--229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18.55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20.53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39.08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B1--230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21.64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23.95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45.59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B8--230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9.62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18.31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B1--232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18.45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38.87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B8--233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17.73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33.75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B3--235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22.42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24.81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47.23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B5--236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23.13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44.03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B9--236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21.65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23.96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45.61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B1--237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18.49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20.46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38.95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B2--237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11.96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25.19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79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B5--237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15.65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17.32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32.97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B8--237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18.46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20.43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38.89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B5--238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28.72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31.78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60.5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B5--239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20.32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22.49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42.81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B9--240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12.93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14.31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27.24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B8--244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21.65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23.96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45.61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B18--247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32.68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36.16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68.84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B18--248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77.69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85.97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163.66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B8--248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12.85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27.07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B18--249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12.26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13.57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25.83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B18--250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218.96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461.26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消防水池</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B5--251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12.16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13.46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25.62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B5--252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10.51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20.01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B8--253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12.85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27.07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B8--258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19.45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21.52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40.97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B8--264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4.01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4.44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B8--270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18.55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20.53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39.08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B8--278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23.94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26.49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50.43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17.81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8.26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26.07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B1--102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11.98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5.96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17.94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99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B3--102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11.98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6.13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18.11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B4--102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12.08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5.72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B5--102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12.58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19.18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13.98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6.46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20.44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12.86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18.98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11.93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5.56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17.49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13.21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19.33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B3--105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5.46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16.13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B5--105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12.99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6.81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B6--105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9.37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14.39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109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12.74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B1--106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10.51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15.74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B4--106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10.51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4.98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15.49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4.58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14.19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B6--109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8.25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12.67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B2--110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8.25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4.34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12.59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B6--114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5.39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15.45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B1--115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15.88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B2--115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15.35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B3--115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119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B10--117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4.91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15.51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B8--118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15.65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B9--118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4.94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B1--119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15.88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B3--119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B5--119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B5--121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5.36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2.81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8.17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B4--123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12.81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6.07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18.88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B7--124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12.81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5.92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18.73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B4--125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5.12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2.43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7.55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129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B7--126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5.12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7.49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B6--127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22.84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35.07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B10--128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13.21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19.33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B9--129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13.17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6.13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B2--129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15.45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8.13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23.58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B3--129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4.44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13.13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B5--129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15.42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8.09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23.51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B8--130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4.14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12.83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B10--132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17.81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8.26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26.07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B3--132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11.98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6.13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18.11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139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B5--132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12.63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6.62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19.25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B8--133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12.56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5.98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B9--133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17.81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26.11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B6--134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22.84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35.07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B4--135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11.15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5.28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16.43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B10--136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15.58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B1--136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21.11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10.51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31.62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B2--136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22.84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34.86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B7--136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10.53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4.87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B4--139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12.21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5.78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17.99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149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15.83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7.34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23.17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B1--142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13.83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6.88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20.71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B7--143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22.13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32.36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B9--143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18.18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26.65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B10--144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8.57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3.97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B10--145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21.32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9.89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31.21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B9--145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8.58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12.58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B8--146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8.57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4.08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12.65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B9--146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21.38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9.96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31.34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B8--147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21.32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10.15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31.47</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159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B10--150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21.37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9.91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31.28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B7--150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22.13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32.36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B9--151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21.43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9.98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31.41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B8--152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21.37</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10.17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31.54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B7--153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22.52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B7--160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22.29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32.59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设备用房</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9.85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20.75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5.31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5.88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11.19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8.51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4.21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8.01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169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B4--202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9.32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17.74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7.76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8.59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16.35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B5--203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9.38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10.38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19.76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8.51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B4--204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6.58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7.28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13.86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7.12</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7.88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B4--205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6.75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7.47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14.22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179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8.08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15.38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7.31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13.92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6.38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7.06</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13.44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B1--209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6.76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7.48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14.24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B2--209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3.8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4.21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8.01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B5--218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9.38</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10.38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19.76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B1--219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7.31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13.92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B5--219</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5.85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6.47</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12.32</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187</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B5--220</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5.31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5.88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11.19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188</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B3--221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7.59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15.99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189</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7.59</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15.99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190</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B3--222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191</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7.41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15.61</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192</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B1--224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7.61</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8.42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16.03</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193</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B3--224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6.76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7.48</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14.24</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194</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地下车库</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B3--225</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6.45</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7.14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FF"/>
                <w:sz w:val="20"/>
                <w:szCs w:val="20"/>
              </w:rPr>
            </w:pPr>
            <w:r>
              <w:rPr>
                <w:rFonts w:hint="eastAsia" w:ascii="宋体" w:hAnsi="宋体" w:cs="宋体"/>
                <w:color w:val="0000FF"/>
                <w:kern w:val="0"/>
                <w:sz w:val="20"/>
                <w:szCs w:val="20"/>
                <w:lang w:bidi="ar"/>
              </w:rPr>
              <w:t>13.59</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0"/>
                <w:szCs w:val="20"/>
              </w:rPr>
            </w:pPr>
            <w:r>
              <w:rPr>
                <w:rFonts w:hint="eastAsia" w:ascii="宋体" w:hAnsi="宋体" w:cs="宋体"/>
                <w:color w:val="000000"/>
                <w:kern w:val="0"/>
                <w:sz w:val="20"/>
                <w:szCs w:val="20"/>
                <w:lang w:bidi="ar"/>
              </w:rPr>
              <w:t>工具间</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r>
              <w:rPr>
                <w:rFonts w:hint="eastAsia" w:ascii="宋体" w:hAnsi="宋体" w:cs="宋体"/>
                <w:kern w:val="0"/>
                <w:sz w:val="18"/>
                <w:szCs w:val="18"/>
              </w:rPr>
              <w:t>非卖　</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195</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bidi="ar"/>
              </w:rPr>
              <w:t>1-101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FF"/>
                <w:kern w:val="2"/>
                <w:sz w:val="20"/>
                <w:szCs w:val="20"/>
                <w:lang w:val="en-US" w:eastAsia="zh-CN" w:bidi="ar-SA"/>
              </w:rPr>
            </w:pPr>
            <w:r>
              <w:rPr>
                <w:rFonts w:hint="eastAsia" w:ascii="宋体" w:hAnsi="宋体" w:cs="宋体"/>
                <w:color w:val="0000FF"/>
                <w:kern w:val="0"/>
                <w:sz w:val="20"/>
                <w:szCs w:val="20"/>
                <w:lang w:bidi="ar"/>
              </w:rPr>
              <w:t>99.63</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FF"/>
                <w:kern w:val="2"/>
                <w:sz w:val="20"/>
                <w:szCs w:val="20"/>
                <w:lang w:val="en-US" w:eastAsia="zh-CN" w:bidi="ar-SA"/>
              </w:rPr>
            </w:pPr>
            <w:r>
              <w:rPr>
                <w:rFonts w:hint="eastAsia" w:ascii="宋体" w:hAnsi="宋体" w:cs="宋体"/>
                <w:color w:val="0000FF"/>
                <w:kern w:val="0"/>
                <w:sz w:val="20"/>
                <w:szCs w:val="20"/>
                <w:lang w:bidi="ar"/>
              </w:rPr>
              <w:t>3.23</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FF"/>
                <w:kern w:val="2"/>
                <w:sz w:val="20"/>
                <w:szCs w:val="20"/>
                <w:lang w:val="en-US" w:eastAsia="zh-CN" w:bidi="ar-SA"/>
              </w:rPr>
            </w:pPr>
            <w:r>
              <w:rPr>
                <w:rFonts w:hint="eastAsia" w:ascii="宋体" w:hAnsi="宋体" w:cs="宋体"/>
                <w:color w:val="0000FF"/>
                <w:kern w:val="0"/>
                <w:sz w:val="20"/>
                <w:szCs w:val="20"/>
                <w:lang w:bidi="ar"/>
              </w:rPr>
              <w:t>102.86</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2"/>
                <w:sz w:val="20"/>
                <w:szCs w:val="20"/>
                <w:lang w:val="en-US" w:eastAsia="zh-CN" w:bidi="ar-SA"/>
              </w:rPr>
            </w:pPr>
            <w:r>
              <w:rPr>
                <w:rFonts w:hint="eastAsia" w:ascii="宋体" w:hAnsi="宋体" w:cs="宋体"/>
                <w:color w:val="000000"/>
                <w:kern w:val="0"/>
                <w:sz w:val="20"/>
                <w:szCs w:val="20"/>
                <w:lang w:bidi="ar"/>
              </w:rPr>
              <w:t>便利店</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自留</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196</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w:t>
            </w: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1-111</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FF"/>
                <w:kern w:val="0"/>
                <w:sz w:val="20"/>
                <w:szCs w:val="20"/>
                <w:lang w:val="en-US" w:eastAsia="zh-CN" w:bidi="ar"/>
              </w:rPr>
            </w:pPr>
            <w:r>
              <w:rPr>
                <w:rFonts w:hint="eastAsia" w:ascii="宋体" w:hAnsi="宋体" w:cs="宋体"/>
                <w:color w:val="0000FF"/>
                <w:kern w:val="0"/>
                <w:sz w:val="20"/>
                <w:szCs w:val="20"/>
                <w:lang w:bidi="ar"/>
              </w:rPr>
              <w:t>300.56</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FF"/>
                <w:kern w:val="0"/>
                <w:sz w:val="20"/>
                <w:szCs w:val="20"/>
                <w:lang w:val="en-US" w:eastAsia="zh-CN" w:bidi="ar"/>
              </w:rPr>
            </w:pPr>
            <w:r>
              <w:rPr>
                <w:rFonts w:hint="eastAsia" w:ascii="宋体" w:hAnsi="宋体" w:cs="宋体"/>
                <w:color w:val="0000FF"/>
                <w:kern w:val="0"/>
                <w:sz w:val="20"/>
                <w:szCs w:val="20"/>
                <w:lang w:bidi="ar"/>
              </w:rPr>
              <w:t>56.12</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FF"/>
                <w:kern w:val="0"/>
                <w:sz w:val="20"/>
                <w:szCs w:val="20"/>
                <w:lang w:val="en-US" w:eastAsia="zh-CN" w:bidi="ar"/>
              </w:rPr>
            </w:pPr>
            <w:r>
              <w:rPr>
                <w:rFonts w:hint="eastAsia" w:ascii="宋体" w:hAnsi="宋体" w:cs="宋体"/>
                <w:color w:val="0000FF"/>
                <w:kern w:val="0"/>
                <w:sz w:val="20"/>
                <w:szCs w:val="20"/>
                <w:lang w:bidi="ar"/>
              </w:rPr>
              <w:t>356.68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社区商业网点</w:t>
            </w: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自留</w:t>
            </w:r>
          </w:p>
        </w:tc>
      </w:tr>
      <w:tr>
        <w:tblPrEx>
          <w:tblCellMar>
            <w:top w:w="0" w:type="dxa"/>
            <w:left w:w="108" w:type="dxa"/>
            <w:bottom w:w="0" w:type="dxa"/>
            <w:right w:w="108" w:type="dxa"/>
          </w:tblCellMar>
        </w:tblPrEx>
        <w:trPr>
          <w:trHeight w:val="270"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kern w:val="0"/>
                <w:sz w:val="18"/>
                <w:szCs w:val="18"/>
              </w:rPr>
            </w:pPr>
            <w:r>
              <w:rPr>
                <w:rFonts w:hint="eastAsia" w:ascii="宋体" w:hAnsi="宋体" w:eastAsia="宋体" w:cs="宋体"/>
                <w:i w:val="0"/>
                <w:iCs w:val="0"/>
                <w:color w:val="000000"/>
                <w:kern w:val="0"/>
                <w:sz w:val="22"/>
                <w:szCs w:val="22"/>
                <w:u w:val="none"/>
                <w:lang w:val="en-US" w:eastAsia="zh-CN" w:bidi="ar"/>
              </w:rPr>
              <w:t>序号</w:t>
            </w:r>
          </w:p>
        </w:tc>
        <w:tc>
          <w:tcPr>
            <w:tcW w:w="102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szCs w:val="20"/>
                <w:lang w:bidi="ar"/>
              </w:rPr>
            </w:pPr>
          </w:p>
        </w:tc>
        <w:tc>
          <w:tcPr>
            <w:tcW w:w="127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szCs w:val="20"/>
                <w:lang w:bidi="ar"/>
              </w:rPr>
            </w:pP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FF"/>
                <w:kern w:val="0"/>
                <w:sz w:val="20"/>
                <w:szCs w:val="20"/>
                <w:lang w:val="en-US" w:eastAsia="zh-CN" w:bidi="ar"/>
              </w:rPr>
            </w:pPr>
            <w:r>
              <w:rPr>
                <w:rFonts w:hint="eastAsia" w:ascii="宋体" w:hAnsi="宋体" w:cs="宋体"/>
                <w:color w:val="0000FF"/>
                <w:kern w:val="0"/>
                <w:sz w:val="20"/>
                <w:szCs w:val="20"/>
                <w:lang w:val="en-US" w:eastAsia="zh-CN" w:bidi="ar"/>
              </w:rPr>
              <w:t>15194.64</w:t>
            </w:r>
          </w:p>
        </w:tc>
        <w:tc>
          <w:tcPr>
            <w:tcW w:w="112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FF"/>
                <w:kern w:val="0"/>
                <w:sz w:val="20"/>
                <w:szCs w:val="20"/>
                <w:lang w:val="en-US" w:eastAsia="zh-CN" w:bidi="ar"/>
              </w:rPr>
            </w:pPr>
            <w:r>
              <w:rPr>
                <w:rFonts w:hint="eastAsia" w:ascii="宋体" w:hAnsi="宋体" w:cs="宋体"/>
                <w:color w:val="0000FF"/>
                <w:kern w:val="0"/>
                <w:sz w:val="20"/>
                <w:szCs w:val="20"/>
                <w:lang w:val="en-US" w:eastAsia="zh-CN" w:bidi="ar"/>
              </w:rPr>
              <w:t>3011.44</w:t>
            </w:r>
          </w:p>
        </w:tc>
        <w:tc>
          <w:tcPr>
            <w:tcW w:w="109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FF"/>
                <w:kern w:val="0"/>
                <w:sz w:val="20"/>
                <w:szCs w:val="20"/>
                <w:lang w:val="en-US" w:eastAsia="zh-CN" w:bidi="ar"/>
              </w:rPr>
            </w:pPr>
            <w:r>
              <w:rPr>
                <w:rFonts w:hint="eastAsia" w:ascii="宋体" w:hAnsi="宋体" w:cs="宋体"/>
                <w:color w:val="0000FF"/>
                <w:kern w:val="0"/>
                <w:sz w:val="20"/>
                <w:szCs w:val="20"/>
                <w:lang w:val="en-US" w:eastAsia="zh-CN" w:bidi="ar"/>
              </w:rPr>
              <w:t>18206.08</w:t>
            </w:r>
          </w:p>
        </w:tc>
        <w:tc>
          <w:tcPr>
            <w:tcW w:w="283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szCs w:val="20"/>
                <w:lang w:bidi="ar"/>
              </w:rPr>
            </w:pPr>
          </w:p>
        </w:tc>
        <w:tc>
          <w:tcPr>
            <w:tcW w:w="7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r>
    </w:tbl>
    <w:p>
      <w:pPr>
        <w:spacing w:line="480" w:lineRule="exact"/>
        <w:rPr>
          <w:rFonts w:ascii="仿宋" w:hAnsi="仿宋" w:eastAsia="仿宋" w:cs="仿宋"/>
          <w:sz w:val="32"/>
          <w:szCs w:val="32"/>
        </w:rPr>
      </w:pP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上述房产不面向社会预售。</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五、预售价格及变动幅度</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（一）销售价格及变动幅度</w:t>
      </w:r>
    </w:p>
    <w:p>
      <w:pPr>
        <w:ind w:firstLine="640" w:firstLineChars="200"/>
        <w:rPr>
          <w:rFonts w:ascii="仿宋" w:hAnsi="仿宋" w:eastAsia="仿宋" w:cs="仿宋"/>
          <w:sz w:val="32"/>
          <w:szCs w:val="32"/>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商品房销售价格按照相关文件执行“一房一价”，除国家规定的契税和维修基金外，不再加收其它任何费用。销售价格先行在销售场所公布，公开接受社会监督。商品房销售价格已向赤峰市市场监督管理局</w:t>
      </w:r>
      <w:r>
        <w:rPr>
          <w:rFonts w:hint="eastAsia" w:ascii="仿宋" w:hAnsi="仿宋" w:eastAsia="仿宋" w:cs="仿宋"/>
          <w:sz w:val="32"/>
          <w:szCs w:val="32"/>
          <w:lang w:eastAsia="zh-CN"/>
        </w:rPr>
        <w:t>价格监督检查局</w:t>
      </w:r>
      <w:r>
        <w:rPr>
          <w:rFonts w:hint="eastAsia" w:ascii="仿宋" w:hAnsi="仿宋" w:eastAsia="仿宋" w:cs="仿宋"/>
          <w:sz w:val="32"/>
          <w:szCs w:val="32"/>
        </w:rPr>
        <w:t>申报备案。本方案中备案的销售价格，为</w:t>
      </w:r>
      <w:r>
        <w:rPr>
          <w:rFonts w:hint="eastAsia" w:ascii="仿宋" w:hAnsi="仿宋" w:eastAsia="仿宋" w:cs="仿宋"/>
          <w:sz w:val="32"/>
          <w:szCs w:val="32"/>
          <w:lang w:eastAsia="zh-CN"/>
        </w:rPr>
        <w:t>简装</w:t>
      </w:r>
      <w:r>
        <w:rPr>
          <w:rFonts w:hint="eastAsia" w:ascii="仿宋" w:hAnsi="仿宋" w:eastAsia="仿宋" w:cs="仿宋"/>
          <w:sz w:val="32"/>
          <w:szCs w:val="32"/>
        </w:rPr>
        <w:t>价格。</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1号楼：预售共90套，建筑面积为10094.70平方米。其中住宅共90套，建筑面积为10094.70平方米，平均售价为每平方米6260元，最高售价为每平米6260元，最低售价为每平方米6260元；</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2号楼：预售共68套，建筑面积为8011.76平方米。其中住宅共68套，建筑面积8011.76平方米，平均售价为每平方米6260元，最高售价为每平米6260元，最低售价为每平方米6260元；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3号楼：预售共96套，建筑面积为10757.44平方米。其中住宅共96套，建筑面积为10757.44平方米，平均售价为每平方米6260元，最高售价为每平米6260元，最低售价为每平方米6260元；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4号楼：预售共102套，建筑面积12473.58平方米。其中住宅共102套，建筑面积为12473.58平方米，平均售价为每平方米6260元，最高售价为每平米6260元，最低售价为每平方米6260元；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5号楼：预售共102套，建筑面积为12933.60平方米。其中住宅共102套，建筑面积为12933.60平方米，平均售价为每平方米6260元，最高售价为每平米6260元，最低售价为每平方米6260元；</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6号楼：预售共68套，建筑面积为8060.54平方米。其中住宅共68套，建筑面积为8004.28平方米，平均售价为每平方米6260元，最高售价为每平米6260元，最低售价为每平方米6260元；</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7号楼：预售共102套，建筑面积为12473.58平方米。其中住宅共102套，建筑面积为12473.58平方米，平均售价为每平方米6260</w:t>
      </w:r>
    </w:p>
    <w:p>
      <w:pPr>
        <w:spacing w:line="480" w:lineRule="exact"/>
        <w:rPr>
          <w:rFonts w:ascii="仿宋" w:hAnsi="仿宋" w:eastAsia="仿宋" w:cs="仿宋"/>
          <w:sz w:val="32"/>
          <w:szCs w:val="32"/>
        </w:rPr>
      </w:pPr>
      <w:r>
        <w:rPr>
          <w:rFonts w:hint="eastAsia" w:ascii="仿宋" w:hAnsi="仿宋" w:eastAsia="仿宋" w:cs="仿宋"/>
          <w:sz w:val="32"/>
          <w:szCs w:val="32"/>
        </w:rPr>
        <w:t xml:space="preserve">元，最高售价为每平米6260元，最低售价为每平方米6260元；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8号楼：预售共102套，建筑面积为11419.24平方米。其中住宅共102套，建筑面积为11419.24平方米，平均售价为每平方米6260元，最高售价为每平米6260元，最低售价为每平方米6260元；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9号楼：预售共102套，建筑面积为11419.24平方米。其中住宅共102套，建筑面积为11419.24平方米，平均售价为每平方米6260元，最高售价为每平米6260元，最低售价为每平方米6260元；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10号楼：预售共102套，建筑面积为11419.24平方米。其中住宅共102套，建筑面积为11419.24平方米，平均售价为每平方米6260元，最高售价为每平米6260元，最低售价为每平方米6260元；</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11号楼：预售共3套，建筑面积为311.05平方米。其中商业网点共3套，建筑面积为311.05平方米，平均售价为每平方米12000元，最高售价为每平米12000元，最低售价为每平方米12000元；</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12号楼：预售共1</w:t>
      </w:r>
      <w:r>
        <w:rPr>
          <w:rFonts w:hint="eastAsia" w:ascii="仿宋" w:hAnsi="仿宋" w:eastAsia="仿宋" w:cs="仿宋"/>
          <w:sz w:val="32"/>
          <w:szCs w:val="32"/>
          <w:lang w:val="en-US" w:eastAsia="zh-CN"/>
        </w:rPr>
        <w:t>0</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2423.69</w:t>
      </w:r>
      <w:r>
        <w:rPr>
          <w:rFonts w:hint="eastAsia" w:ascii="仿宋" w:hAnsi="仿宋" w:eastAsia="仿宋" w:cs="仿宋"/>
          <w:sz w:val="32"/>
          <w:szCs w:val="32"/>
        </w:rPr>
        <w:t>平方米。其中商业网点共1</w:t>
      </w:r>
      <w:r>
        <w:rPr>
          <w:rFonts w:hint="eastAsia" w:ascii="仿宋" w:hAnsi="仿宋" w:eastAsia="仿宋" w:cs="仿宋"/>
          <w:sz w:val="32"/>
          <w:szCs w:val="32"/>
          <w:lang w:val="en-US" w:eastAsia="zh-CN"/>
        </w:rPr>
        <w:t>0</w:t>
      </w:r>
      <w:r>
        <w:rPr>
          <w:rFonts w:hint="eastAsia" w:ascii="仿宋" w:hAnsi="仿宋" w:eastAsia="仿宋" w:cs="仿宋"/>
          <w:sz w:val="32"/>
          <w:szCs w:val="32"/>
        </w:rPr>
        <w:t>套，建筑面积为</w:t>
      </w:r>
      <w:r>
        <w:rPr>
          <w:rFonts w:hint="eastAsia" w:ascii="仿宋" w:hAnsi="仿宋" w:eastAsia="仿宋" w:cs="仿宋"/>
          <w:sz w:val="32"/>
          <w:szCs w:val="32"/>
          <w:lang w:val="en-US" w:eastAsia="zh-CN"/>
        </w:rPr>
        <w:t>2423.69</w:t>
      </w:r>
      <w:r>
        <w:rPr>
          <w:rFonts w:hint="eastAsia" w:ascii="仿宋" w:hAnsi="仿宋" w:eastAsia="仿宋" w:cs="仿宋"/>
          <w:sz w:val="32"/>
          <w:szCs w:val="32"/>
        </w:rPr>
        <w:t>平方米，平均售价为每平方米12000元，最高售价为每平米12000元，最低售价为每平方米12000元；</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地下车库：预售1298套，建筑面积为</w:t>
      </w:r>
      <w:r>
        <w:rPr>
          <w:rFonts w:hint="eastAsia" w:ascii="仿宋" w:hAnsi="仿宋" w:eastAsia="仿宋" w:cs="仿宋"/>
          <w:color w:val="000000"/>
          <w:kern w:val="0"/>
          <w:sz w:val="32"/>
          <w:szCs w:val="32"/>
        </w:rPr>
        <w:t>26118.57</w:t>
      </w:r>
      <w:r>
        <w:rPr>
          <w:rFonts w:hint="eastAsia" w:ascii="仿宋" w:hAnsi="仿宋" w:eastAsia="仿宋" w:cs="仿宋"/>
          <w:sz w:val="32"/>
          <w:szCs w:val="32"/>
        </w:rPr>
        <w:t>平方米。其中车位663套，建筑面积19388.3平方米，售价为每平方米2800元；仓库605套，建筑面积6283.49平方米，售价为每平方米3000元。</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具体每套房屋售价，详见附件2：经赤峰市市场监督管理局</w:t>
      </w:r>
      <w:r>
        <w:rPr>
          <w:rFonts w:hint="eastAsia" w:ascii="仿宋" w:hAnsi="仿宋" w:eastAsia="仿宋" w:cs="仿宋"/>
          <w:b/>
          <w:bCs/>
          <w:sz w:val="32"/>
          <w:szCs w:val="32"/>
          <w:lang w:eastAsia="zh-CN"/>
        </w:rPr>
        <w:t>价格监督检查局</w:t>
      </w:r>
      <w:r>
        <w:rPr>
          <w:rFonts w:hint="eastAsia" w:ascii="仿宋" w:hAnsi="仿宋" w:eastAsia="仿宋" w:cs="仿宋"/>
          <w:b/>
          <w:bCs/>
          <w:sz w:val="32"/>
          <w:szCs w:val="32"/>
        </w:rPr>
        <w:t>审核备案的《赤峰市商品房销售明码标价备案审核表》《价格手册》《明码标价书》《销控及公示明细表》。</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（二）销售方式、优惠方式及幅度</w:t>
      </w:r>
    </w:p>
    <w:p>
      <w:pPr>
        <w:spacing w:line="480" w:lineRule="exact"/>
        <w:ind w:firstLine="643" w:firstLineChars="200"/>
        <w:rPr>
          <w:rFonts w:ascii="仿宋" w:hAnsi="仿宋" w:eastAsia="仿宋" w:cs="仿宋"/>
          <w:sz w:val="32"/>
          <w:szCs w:val="32"/>
        </w:rPr>
      </w:pPr>
      <w:r>
        <w:rPr>
          <w:rFonts w:hint="eastAsia" w:ascii="仿宋" w:hAnsi="仿宋" w:eastAsia="仿宋" w:cs="仿宋"/>
          <w:b/>
          <w:bCs/>
          <w:sz w:val="32"/>
          <w:szCs w:val="32"/>
        </w:rPr>
        <w:t>销  售  方  式：</w:t>
      </w:r>
      <w:r>
        <w:rPr>
          <w:rFonts w:hint="eastAsia" w:ascii="仿宋" w:hAnsi="仿宋" w:eastAsia="仿宋" w:cs="仿宋"/>
          <w:b/>
          <w:bCs/>
          <w:color w:val="FF0000"/>
          <w:sz w:val="32"/>
          <w:szCs w:val="32"/>
        </w:rPr>
        <w:t>商品房预售采取购房者先到先选择房源的方式。</w:t>
      </w:r>
    </w:p>
    <w:p>
      <w:pPr>
        <w:spacing w:line="480" w:lineRule="exact"/>
        <w:ind w:firstLine="643" w:firstLineChars="200"/>
        <w:rPr>
          <w:rFonts w:ascii="仿宋" w:hAnsi="仿宋" w:eastAsia="仿宋" w:cs="仿宋"/>
          <w:b/>
          <w:bCs/>
          <w:color w:val="FF0000"/>
          <w:sz w:val="32"/>
          <w:szCs w:val="32"/>
        </w:rPr>
      </w:pPr>
      <w:r>
        <w:rPr>
          <w:rFonts w:hint="eastAsia" w:ascii="仿宋" w:hAnsi="仿宋" w:eastAsia="仿宋" w:cs="仿宋"/>
          <w:b/>
          <w:bCs/>
          <w:sz w:val="32"/>
          <w:szCs w:val="32"/>
        </w:rPr>
        <w:t>优惠方式及幅度：无优惠</w:t>
      </w:r>
    </w:p>
    <w:p>
      <w:pPr>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（三）组织销售情况</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1、本项目取得商品房预售许可证后，由内蒙古万家房地产开发有限公司按照本方案自行组织销售。</w:t>
      </w:r>
    </w:p>
    <w:p>
      <w:pPr>
        <w:widowControl/>
        <w:spacing w:line="500" w:lineRule="atLeast"/>
        <w:ind w:firstLine="640"/>
        <w:rPr>
          <w:rFonts w:ascii="仿宋" w:hAnsi="仿宋" w:eastAsia="仿宋" w:cs="仿宋"/>
          <w:sz w:val="32"/>
          <w:szCs w:val="32"/>
          <w:highlight w:val="none"/>
        </w:rPr>
      </w:pPr>
      <w:r>
        <w:rPr>
          <w:rFonts w:hint="eastAsia" w:ascii="仿宋" w:hAnsi="仿宋" w:eastAsia="仿宋" w:cs="仿宋"/>
          <w:sz w:val="32"/>
          <w:szCs w:val="32"/>
          <w:highlight w:val="none"/>
        </w:rPr>
        <w:t>销售负责人：姚玉莉。执业证书编号为：1004010073；</w:t>
      </w:r>
    </w:p>
    <w:p>
      <w:pPr>
        <w:widowControl/>
        <w:spacing w:line="500" w:lineRule="atLeast"/>
        <w:ind w:firstLine="640"/>
        <w:rPr>
          <w:rFonts w:ascii="仿宋" w:hAnsi="仿宋" w:eastAsia="仿宋" w:cs="仿宋"/>
          <w:sz w:val="32"/>
          <w:szCs w:val="32"/>
          <w:highlight w:val="none"/>
        </w:rPr>
      </w:pPr>
      <w:r>
        <w:rPr>
          <w:rFonts w:hint="eastAsia" w:ascii="仿宋" w:hAnsi="仿宋" w:eastAsia="仿宋" w:cs="仿宋"/>
          <w:sz w:val="32"/>
          <w:szCs w:val="32"/>
          <w:highlight w:val="none"/>
        </w:rPr>
        <w:t>售  楼  员：朱智群，执业证书编号为：1004010274；</w:t>
      </w:r>
    </w:p>
    <w:p>
      <w:pPr>
        <w:widowControl/>
        <w:spacing w:line="500" w:lineRule="atLeast"/>
        <w:ind w:firstLine="2560"/>
        <w:rPr>
          <w:rFonts w:ascii="仿宋" w:hAnsi="仿宋" w:eastAsia="仿宋" w:cs="仿宋"/>
          <w:sz w:val="32"/>
          <w:szCs w:val="32"/>
          <w:highlight w:val="none"/>
        </w:rPr>
      </w:pPr>
      <w:r>
        <w:rPr>
          <w:rFonts w:hint="eastAsia" w:ascii="仿宋" w:hAnsi="仿宋" w:eastAsia="仿宋" w:cs="仿宋"/>
          <w:sz w:val="32"/>
          <w:szCs w:val="32"/>
          <w:highlight w:val="none"/>
        </w:rPr>
        <w:t>刘佳丽，执业证书编号为：1004010343。</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kern w:val="0"/>
          <w:sz w:val="32"/>
          <w:szCs w:val="32"/>
          <w:lang w:val="zh-CN"/>
        </w:rPr>
        <w:t>本项目的预售资金全部纳入公司专用账户（开户行：</w:t>
      </w:r>
      <w:r>
        <w:rPr>
          <w:rFonts w:hint="eastAsia" w:ascii="仿宋" w:hAnsi="仿宋" w:eastAsia="仿宋" w:cs="仿宋"/>
          <w:kern w:val="0"/>
          <w:sz w:val="32"/>
          <w:szCs w:val="32"/>
          <w:lang w:val="en-US" w:eastAsia="zh-CN"/>
        </w:rPr>
        <w:t>中国工商银行股份有限公司赤峰红山支行</w:t>
      </w:r>
      <w:r>
        <w:rPr>
          <w:rFonts w:hint="eastAsia" w:ascii="仿宋" w:hAnsi="仿宋" w:eastAsia="仿宋" w:cs="仿宋"/>
          <w:kern w:val="0"/>
          <w:sz w:val="32"/>
          <w:szCs w:val="32"/>
          <w:lang w:val="zh-CN"/>
        </w:rPr>
        <w:t>；账号：</w:t>
      </w:r>
      <w:r>
        <w:rPr>
          <w:rFonts w:hint="eastAsia" w:ascii="仿宋" w:hAnsi="仿宋" w:eastAsia="仿宋" w:cs="仿宋"/>
          <w:kern w:val="0"/>
          <w:sz w:val="32"/>
          <w:szCs w:val="32"/>
          <w:lang w:val="en-US" w:eastAsia="zh-CN"/>
        </w:rPr>
        <w:t>0605020138000002093</w:t>
      </w:r>
      <w:r>
        <w:rPr>
          <w:rFonts w:hint="eastAsia" w:ascii="仿宋" w:hAnsi="仿宋" w:eastAsia="仿宋" w:cs="仿宋"/>
          <w:kern w:val="0"/>
          <w:sz w:val="32"/>
          <w:szCs w:val="32"/>
          <w:lang w:val="zh-CN"/>
        </w:rPr>
        <w:t>），并且保证预售资金全部用于该项目工程建设。</w:t>
      </w:r>
      <w:bookmarkStart w:id="0" w:name="_GoBack"/>
      <w:bookmarkEnd w:id="0"/>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3、合同签订。我公司严格执行购房实名制。加强规范合同签订管理。通过内蒙古自治区商品房销售管理系统，签订预定协议和商品房买卖合同，并在合同“附件五：补充合同”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4、我公司保证在取得商品房预售许可证后10日内一次性公开全部准售房源，按照备案价格明码标价对外销售。商品房销售价格根据市场情况进行上下调整时，报主管部门申请备案并公示。</w:t>
      </w:r>
    </w:p>
    <w:p>
      <w:pPr>
        <w:spacing w:line="4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六、住房质量责任承担主体和承担方式</w:t>
      </w: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内蒙古万家房地产开发有限公司承担赔偿相应损失，并保留向造成质量问题的相关单位和个人追究责任的权利。</w:t>
      </w:r>
    </w:p>
    <w:p>
      <w:pPr>
        <w:spacing w:line="4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七、住房能源消耗指标和节能措施</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（一）能耗指标：11.44（W/㎡）</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（二）节能措施：</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1.屋面：传热系数0</w:t>
      </w:r>
      <w:r>
        <w:rPr>
          <w:rFonts w:ascii="仿宋" w:hAnsi="仿宋" w:eastAsia="仿宋" w:cs="仿宋"/>
          <w:color w:val="FF0000"/>
          <w:sz w:val="32"/>
          <w:szCs w:val="32"/>
        </w:rPr>
        <w:t>.20，</w:t>
      </w:r>
      <w:r>
        <w:rPr>
          <w:rFonts w:hint="eastAsia" w:ascii="仿宋" w:hAnsi="仿宋" w:eastAsia="仿宋" w:cs="仿宋"/>
          <w:color w:val="FF0000"/>
          <w:sz w:val="32"/>
          <w:szCs w:val="32"/>
        </w:rPr>
        <w:t>挤塑聚苯板</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2.外墙：传热系数0</w:t>
      </w:r>
      <w:r>
        <w:rPr>
          <w:rFonts w:ascii="仿宋" w:hAnsi="仿宋" w:eastAsia="仿宋" w:cs="仿宋"/>
          <w:color w:val="FF0000"/>
          <w:sz w:val="32"/>
          <w:szCs w:val="32"/>
        </w:rPr>
        <w:t>.40，热固复合聚苯乙烯泡沫保温板</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3.窗：传热系数1</w:t>
      </w:r>
      <w:r>
        <w:rPr>
          <w:rFonts w:ascii="仿宋" w:hAnsi="仿宋" w:eastAsia="仿宋" w:cs="仿宋"/>
          <w:color w:val="FF0000"/>
          <w:sz w:val="32"/>
          <w:szCs w:val="32"/>
        </w:rPr>
        <w:t>.71，</w:t>
      </w:r>
      <w:r>
        <w:rPr>
          <w:rFonts w:hint="eastAsia" w:ascii="仿宋" w:hAnsi="仿宋" w:eastAsia="仿宋" w:cs="仿宋"/>
          <w:color w:val="FF0000"/>
          <w:sz w:val="32"/>
          <w:szCs w:val="32"/>
        </w:rPr>
        <w:t>7</w:t>
      </w:r>
      <w:r>
        <w:rPr>
          <w:rFonts w:ascii="仿宋" w:hAnsi="仿宋" w:eastAsia="仿宋" w:cs="仿宋"/>
          <w:color w:val="FF0000"/>
          <w:sz w:val="32"/>
          <w:szCs w:val="32"/>
        </w:rPr>
        <w:t>0系列单框三玻断桥铝合金窗（</w:t>
      </w:r>
      <w:r>
        <w:rPr>
          <w:rFonts w:hint="eastAsia" w:ascii="仿宋" w:hAnsi="仿宋" w:eastAsia="仿宋" w:cs="仿宋"/>
          <w:color w:val="FF0000"/>
          <w:sz w:val="32"/>
          <w:szCs w:val="32"/>
        </w:rPr>
        <w:t>1</w:t>
      </w:r>
      <w:r>
        <w:rPr>
          <w:rFonts w:ascii="仿宋" w:hAnsi="仿宋" w:eastAsia="仿宋" w:cs="仿宋"/>
          <w:color w:val="FF0000"/>
          <w:sz w:val="32"/>
          <w:szCs w:val="32"/>
        </w:rPr>
        <w:t>2A+5+12A+5）</w:t>
      </w:r>
    </w:p>
    <w:p>
      <w:pPr>
        <w:spacing w:line="460" w:lineRule="exact"/>
        <w:ind w:left="950" w:leftChars="300" w:hanging="320" w:hangingChars="100"/>
        <w:rPr>
          <w:rFonts w:ascii="仿宋" w:hAnsi="仿宋" w:eastAsia="仿宋" w:cs="仿宋"/>
          <w:color w:val="FF0000"/>
          <w:sz w:val="32"/>
          <w:szCs w:val="32"/>
        </w:rPr>
      </w:pPr>
      <w:r>
        <w:rPr>
          <w:rFonts w:hint="eastAsia" w:ascii="仿宋" w:hAnsi="仿宋" w:eastAsia="仿宋" w:cs="仿宋"/>
          <w:color w:val="FF0000"/>
          <w:sz w:val="32"/>
          <w:szCs w:val="32"/>
        </w:rPr>
        <w:t>4.墙体材料种类：外墙墙体材料为钢筋混凝土剪力墙及蒸压加气混凝土砌块墙体</w:t>
      </w:r>
      <w:r>
        <w:rPr>
          <w:rFonts w:ascii="仿宋" w:hAnsi="仿宋" w:eastAsia="仿宋" w:cs="仿宋"/>
          <w:color w:val="FF0000"/>
          <w:sz w:val="32"/>
          <w:szCs w:val="32"/>
        </w:rPr>
        <w:t xml:space="preserve"> </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5．供热采暖（制冷）系统节能方式：每组散热器支管设温控阀</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6.供热采暖系统选用设备及产品：四柱760</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7.是否安装热力计量装置: 是</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8.是否设计太阳能供水系统：否</w:t>
      </w:r>
    </w:p>
    <w:p>
      <w:pPr>
        <w:spacing w:line="46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9.热水系统供水方式：章鱼式</w:t>
      </w:r>
    </w:p>
    <w:p>
      <w:pPr>
        <w:spacing w:line="4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八、小区绿化、硬化及物业管理</w:t>
      </w:r>
    </w:p>
    <w:p>
      <w:pPr>
        <w:spacing w:line="4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小区绿化采用法式风格设计，对称美观。常绿树与落叶树相结合，乔灌木相结合，树种丰富，错落有致，色彩多样。主要树种有：云杉、油松、五角枫、银杏、国槐、皂角、花曲柳、红瑞木、垂柳、珍珠梅、榆叶梅、丁香、绣线菊、黄杨、景天等。此外还建有儿童游乐场地、休闲广场以及水景等设施，小区绿化率达到35%以上。</w:t>
      </w:r>
    </w:p>
    <w:p>
      <w:pPr>
        <w:spacing w:line="4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小区硬化采用混凝土砖与花岗岩相结合，主要节点有多种铺装图案，样式美观。</w:t>
      </w:r>
    </w:p>
    <w:p>
      <w:pPr>
        <w:spacing w:line="46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本项目物业由赤峰市佰皓物业服务有限责任公司进驻管理。小区内设置安保室、物业办公室、水电维修队，对业主提出的问题及时进行处理，小区内安装无死角电子监控设置，并有保安定时进行巡逻，做到人防和技防相结合。</w:t>
      </w:r>
    </w:p>
    <w:p>
      <w:pPr>
        <w:spacing w:line="460" w:lineRule="exact"/>
        <w:ind w:firstLine="640" w:firstLineChars="200"/>
        <w:rPr>
          <w:rFonts w:ascii="仿宋" w:hAnsi="仿宋" w:eastAsia="仿宋" w:cs="仿宋"/>
          <w:sz w:val="32"/>
          <w:szCs w:val="32"/>
          <w:lang w:val="zh-CN"/>
        </w:rPr>
      </w:pPr>
    </w:p>
    <w:p>
      <w:pPr>
        <w:spacing w:line="4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注：本方案中主要内容发生变更的，我公司将及时报主管部门备案并公示。</w:t>
      </w:r>
    </w:p>
    <w:p>
      <w:pPr>
        <w:spacing w:line="460" w:lineRule="exact"/>
        <w:ind w:firstLine="640" w:firstLineChars="200"/>
        <w:rPr>
          <w:rFonts w:ascii="仿宋" w:hAnsi="仿宋" w:eastAsia="仿宋" w:cs="仿宋"/>
          <w:sz w:val="32"/>
          <w:szCs w:val="32"/>
        </w:rPr>
      </w:pPr>
    </w:p>
    <w:p>
      <w:pPr>
        <w:spacing w:line="460" w:lineRule="exact"/>
        <w:ind w:firstLine="640" w:firstLineChars="200"/>
        <w:rPr>
          <w:rFonts w:ascii="仿宋" w:hAnsi="仿宋" w:eastAsia="仿宋" w:cs="仿宋"/>
          <w:sz w:val="32"/>
          <w:szCs w:val="32"/>
        </w:rPr>
      </w:pPr>
    </w:p>
    <w:p>
      <w:pPr>
        <w:spacing w:line="460" w:lineRule="exact"/>
        <w:ind w:firstLine="4160" w:firstLineChars="1300"/>
        <w:rPr>
          <w:rFonts w:ascii="仿宋" w:hAnsi="仿宋" w:eastAsia="仿宋" w:cs="仿宋"/>
          <w:sz w:val="32"/>
          <w:szCs w:val="32"/>
        </w:rPr>
      </w:pPr>
      <w:r>
        <w:rPr>
          <w:rFonts w:hint="eastAsia" w:ascii="仿宋" w:hAnsi="仿宋" w:eastAsia="仿宋" w:cs="仿宋"/>
          <w:sz w:val="32"/>
          <w:szCs w:val="32"/>
        </w:rPr>
        <w:t>内蒙古万家房地产开发有限公司</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2</w:t>
    </w:r>
    <w: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xNTI2YmY3NDk2MDQzYzgwMTQ0MjJlMjgwMmI1NjQifQ=="/>
  </w:docVars>
  <w:rsids>
    <w:rsidRoot w:val="007F4E1F"/>
    <w:rsid w:val="00006536"/>
    <w:rsid w:val="000166F3"/>
    <w:rsid w:val="0004210D"/>
    <w:rsid w:val="000449BD"/>
    <w:rsid w:val="00054484"/>
    <w:rsid w:val="00063039"/>
    <w:rsid w:val="00066BD7"/>
    <w:rsid w:val="000844F1"/>
    <w:rsid w:val="00085767"/>
    <w:rsid w:val="00096CDB"/>
    <w:rsid w:val="000B54F4"/>
    <w:rsid w:val="000B5900"/>
    <w:rsid w:val="000D79A6"/>
    <w:rsid w:val="000E23E0"/>
    <w:rsid w:val="000F5C1A"/>
    <w:rsid w:val="001045EB"/>
    <w:rsid w:val="00113A1C"/>
    <w:rsid w:val="00123D3A"/>
    <w:rsid w:val="0012524C"/>
    <w:rsid w:val="001266BB"/>
    <w:rsid w:val="00130724"/>
    <w:rsid w:val="0013381E"/>
    <w:rsid w:val="00136FD4"/>
    <w:rsid w:val="001370D3"/>
    <w:rsid w:val="001477E7"/>
    <w:rsid w:val="001624AA"/>
    <w:rsid w:val="00166629"/>
    <w:rsid w:val="00166DC4"/>
    <w:rsid w:val="00170843"/>
    <w:rsid w:val="00182206"/>
    <w:rsid w:val="00192B18"/>
    <w:rsid w:val="001B0CE2"/>
    <w:rsid w:val="001C232F"/>
    <w:rsid w:val="001E213E"/>
    <w:rsid w:val="00235E46"/>
    <w:rsid w:val="002461D2"/>
    <w:rsid w:val="00280416"/>
    <w:rsid w:val="002861CB"/>
    <w:rsid w:val="00292E45"/>
    <w:rsid w:val="002A5523"/>
    <w:rsid w:val="002B0DCC"/>
    <w:rsid w:val="002B2857"/>
    <w:rsid w:val="002C3CE0"/>
    <w:rsid w:val="00301F65"/>
    <w:rsid w:val="00313DB6"/>
    <w:rsid w:val="00317AD5"/>
    <w:rsid w:val="00345117"/>
    <w:rsid w:val="003505FC"/>
    <w:rsid w:val="00361331"/>
    <w:rsid w:val="003631BF"/>
    <w:rsid w:val="00364A49"/>
    <w:rsid w:val="0038132A"/>
    <w:rsid w:val="00381482"/>
    <w:rsid w:val="00381C69"/>
    <w:rsid w:val="00393CA6"/>
    <w:rsid w:val="003A4410"/>
    <w:rsid w:val="003A5C28"/>
    <w:rsid w:val="003C5711"/>
    <w:rsid w:val="003E3E61"/>
    <w:rsid w:val="00406F83"/>
    <w:rsid w:val="004213D7"/>
    <w:rsid w:val="00442DB9"/>
    <w:rsid w:val="00453BBA"/>
    <w:rsid w:val="004541AA"/>
    <w:rsid w:val="004546B8"/>
    <w:rsid w:val="004620D6"/>
    <w:rsid w:val="00471A9D"/>
    <w:rsid w:val="00477B1D"/>
    <w:rsid w:val="004A3795"/>
    <w:rsid w:val="004C1D87"/>
    <w:rsid w:val="00511FF4"/>
    <w:rsid w:val="00513445"/>
    <w:rsid w:val="00523E0A"/>
    <w:rsid w:val="00531FDE"/>
    <w:rsid w:val="005453D9"/>
    <w:rsid w:val="00575668"/>
    <w:rsid w:val="00582A95"/>
    <w:rsid w:val="005B5F05"/>
    <w:rsid w:val="005C0CD1"/>
    <w:rsid w:val="005D03C7"/>
    <w:rsid w:val="005F5900"/>
    <w:rsid w:val="0060657C"/>
    <w:rsid w:val="006153FE"/>
    <w:rsid w:val="00620941"/>
    <w:rsid w:val="006352CD"/>
    <w:rsid w:val="0064104A"/>
    <w:rsid w:val="006416A7"/>
    <w:rsid w:val="006559DA"/>
    <w:rsid w:val="006605C9"/>
    <w:rsid w:val="0066425B"/>
    <w:rsid w:val="006649B7"/>
    <w:rsid w:val="0066515B"/>
    <w:rsid w:val="00692372"/>
    <w:rsid w:val="00694823"/>
    <w:rsid w:val="00695158"/>
    <w:rsid w:val="00695CA4"/>
    <w:rsid w:val="00696126"/>
    <w:rsid w:val="006B36F8"/>
    <w:rsid w:val="006E3270"/>
    <w:rsid w:val="006E5A3D"/>
    <w:rsid w:val="006E64EC"/>
    <w:rsid w:val="00717820"/>
    <w:rsid w:val="00717A57"/>
    <w:rsid w:val="007364F1"/>
    <w:rsid w:val="00750D61"/>
    <w:rsid w:val="007739A5"/>
    <w:rsid w:val="007927AB"/>
    <w:rsid w:val="00793462"/>
    <w:rsid w:val="007A036B"/>
    <w:rsid w:val="007D4272"/>
    <w:rsid w:val="007D48F8"/>
    <w:rsid w:val="007D6882"/>
    <w:rsid w:val="007E5FAB"/>
    <w:rsid w:val="007F4E1F"/>
    <w:rsid w:val="00812615"/>
    <w:rsid w:val="00825A3B"/>
    <w:rsid w:val="00827C3F"/>
    <w:rsid w:val="008403D6"/>
    <w:rsid w:val="00850592"/>
    <w:rsid w:val="008546A6"/>
    <w:rsid w:val="00866C2C"/>
    <w:rsid w:val="00873D4F"/>
    <w:rsid w:val="00880F07"/>
    <w:rsid w:val="00885418"/>
    <w:rsid w:val="00890050"/>
    <w:rsid w:val="008C375A"/>
    <w:rsid w:val="008E2A65"/>
    <w:rsid w:val="008E4619"/>
    <w:rsid w:val="008F01EE"/>
    <w:rsid w:val="008F2082"/>
    <w:rsid w:val="009339C6"/>
    <w:rsid w:val="00942D71"/>
    <w:rsid w:val="0094578F"/>
    <w:rsid w:val="00950459"/>
    <w:rsid w:val="009578D9"/>
    <w:rsid w:val="00976B5E"/>
    <w:rsid w:val="00982F79"/>
    <w:rsid w:val="009860B1"/>
    <w:rsid w:val="009B227C"/>
    <w:rsid w:val="009B29CC"/>
    <w:rsid w:val="009C6A61"/>
    <w:rsid w:val="009D463E"/>
    <w:rsid w:val="009E6921"/>
    <w:rsid w:val="009F43F7"/>
    <w:rsid w:val="009F55C9"/>
    <w:rsid w:val="00A017F7"/>
    <w:rsid w:val="00A12826"/>
    <w:rsid w:val="00A431FB"/>
    <w:rsid w:val="00A5040D"/>
    <w:rsid w:val="00A52C9F"/>
    <w:rsid w:val="00A607DF"/>
    <w:rsid w:val="00A72FFC"/>
    <w:rsid w:val="00A850A6"/>
    <w:rsid w:val="00A86452"/>
    <w:rsid w:val="00A90CC3"/>
    <w:rsid w:val="00A9390A"/>
    <w:rsid w:val="00A93EF7"/>
    <w:rsid w:val="00AA5248"/>
    <w:rsid w:val="00AB15C1"/>
    <w:rsid w:val="00AC26E6"/>
    <w:rsid w:val="00AC5783"/>
    <w:rsid w:val="00AC5E45"/>
    <w:rsid w:val="00AF259E"/>
    <w:rsid w:val="00AF6DE8"/>
    <w:rsid w:val="00B24D17"/>
    <w:rsid w:val="00B26EDB"/>
    <w:rsid w:val="00B360F6"/>
    <w:rsid w:val="00B47985"/>
    <w:rsid w:val="00B5042F"/>
    <w:rsid w:val="00B56679"/>
    <w:rsid w:val="00B7368C"/>
    <w:rsid w:val="00B7747D"/>
    <w:rsid w:val="00B977F9"/>
    <w:rsid w:val="00BA0DA9"/>
    <w:rsid w:val="00BB4B2F"/>
    <w:rsid w:val="00BD1C52"/>
    <w:rsid w:val="00BE012B"/>
    <w:rsid w:val="00BF00D0"/>
    <w:rsid w:val="00BF7014"/>
    <w:rsid w:val="00C23C84"/>
    <w:rsid w:val="00C272B3"/>
    <w:rsid w:val="00C355F3"/>
    <w:rsid w:val="00C36572"/>
    <w:rsid w:val="00C76CC5"/>
    <w:rsid w:val="00C8036C"/>
    <w:rsid w:val="00CE02DB"/>
    <w:rsid w:val="00CE108F"/>
    <w:rsid w:val="00CE10FA"/>
    <w:rsid w:val="00CE5AE8"/>
    <w:rsid w:val="00CE684D"/>
    <w:rsid w:val="00CE705E"/>
    <w:rsid w:val="00CF695D"/>
    <w:rsid w:val="00D1615E"/>
    <w:rsid w:val="00D301C3"/>
    <w:rsid w:val="00D316EE"/>
    <w:rsid w:val="00D3321B"/>
    <w:rsid w:val="00D36CCB"/>
    <w:rsid w:val="00D5667C"/>
    <w:rsid w:val="00D75AFD"/>
    <w:rsid w:val="00D935FB"/>
    <w:rsid w:val="00D97EDE"/>
    <w:rsid w:val="00DA4746"/>
    <w:rsid w:val="00DB5972"/>
    <w:rsid w:val="00DC30C8"/>
    <w:rsid w:val="00DD4ABF"/>
    <w:rsid w:val="00E02270"/>
    <w:rsid w:val="00E067FB"/>
    <w:rsid w:val="00E10B66"/>
    <w:rsid w:val="00E1670A"/>
    <w:rsid w:val="00E220FA"/>
    <w:rsid w:val="00E36EAB"/>
    <w:rsid w:val="00E435F0"/>
    <w:rsid w:val="00E4445F"/>
    <w:rsid w:val="00E6512F"/>
    <w:rsid w:val="00E655A1"/>
    <w:rsid w:val="00E92EF5"/>
    <w:rsid w:val="00EA4CE5"/>
    <w:rsid w:val="00EA674C"/>
    <w:rsid w:val="00EB2D3F"/>
    <w:rsid w:val="00EE06CB"/>
    <w:rsid w:val="00EF7BE5"/>
    <w:rsid w:val="00F02D74"/>
    <w:rsid w:val="00F02E48"/>
    <w:rsid w:val="00F1123E"/>
    <w:rsid w:val="00F143B0"/>
    <w:rsid w:val="00F47357"/>
    <w:rsid w:val="00F70379"/>
    <w:rsid w:val="00F70DE3"/>
    <w:rsid w:val="00F71BB9"/>
    <w:rsid w:val="00F72653"/>
    <w:rsid w:val="00F87AF1"/>
    <w:rsid w:val="00F9204F"/>
    <w:rsid w:val="00FB26D7"/>
    <w:rsid w:val="00FB4D07"/>
    <w:rsid w:val="00FD5538"/>
    <w:rsid w:val="00FE1249"/>
    <w:rsid w:val="00FE7D1F"/>
    <w:rsid w:val="01393D4B"/>
    <w:rsid w:val="03D45C1B"/>
    <w:rsid w:val="10D85C31"/>
    <w:rsid w:val="11D16EC9"/>
    <w:rsid w:val="12E34ADF"/>
    <w:rsid w:val="1A753DD2"/>
    <w:rsid w:val="1F2B663F"/>
    <w:rsid w:val="276C0364"/>
    <w:rsid w:val="2E0E21E7"/>
    <w:rsid w:val="2E340A42"/>
    <w:rsid w:val="315E4F7E"/>
    <w:rsid w:val="335F022E"/>
    <w:rsid w:val="39027128"/>
    <w:rsid w:val="3D6C57CA"/>
    <w:rsid w:val="3E523D63"/>
    <w:rsid w:val="50E76E55"/>
    <w:rsid w:val="52D915C5"/>
    <w:rsid w:val="53147616"/>
    <w:rsid w:val="59DC798E"/>
    <w:rsid w:val="69B0295E"/>
    <w:rsid w:val="72A77BA2"/>
    <w:rsid w:val="73FD7787"/>
    <w:rsid w:val="78B03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qFormat/>
    <w:uiPriority w:val="99"/>
    <w:pPr>
      <w:jc w:val="left"/>
    </w:pPr>
  </w:style>
  <w:style w:type="paragraph" w:styleId="3">
    <w:name w:val="Balloon Text"/>
    <w:basedOn w:val="1"/>
    <w:link w:val="18"/>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link w:val="17"/>
    <w:autoRedefine/>
    <w:semiHidden/>
    <w:qFormat/>
    <w:uiPriority w:val="99"/>
    <w:rPr>
      <w:b/>
      <w:bCs/>
    </w:rPr>
  </w:style>
  <w:style w:type="character" w:styleId="10">
    <w:name w:val="FollowedHyperlink"/>
    <w:basedOn w:val="9"/>
    <w:autoRedefine/>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styleId="12">
    <w:name w:val="annotation reference"/>
    <w:basedOn w:val="9"/>
    <w:semiHidden/>
    <w:qFormat/>
    <w:uiPriority w:val="99"/>
    <w:rPr>
      <w:sz w:val="21"/>
      <w:szCs w:val="21"/>
    </w:rPr>
  </w:style>
  <w:style w:type="character" w:customStyle="1" w:styleId="13">
    <w:name w:val="页脚 Char"/>
    <w:basedOn w:val="9"/>
    <w:link w:val="4"/>
    <w:autoRedefine/>
    <w:qFormat/>
    <w:uiPriority w:val="99"/>
    <w:rPr>
      <w:sz w:val="18"/>
      <w:szCs w:val="18"/>
    </w:rPr>
  </w:style>
  <w:style w:type="character" w:customStyle="1" w:styleId="14">
    <w:name w:val="页眉 Char"/>
    <w:basedOn w:val="9"/>
    <w:link w:val="5"/>
    <w:semiHidden/>
    <w:qFormat/>
    <w:uiPriority w:val="99"/>
    <w:rPr>
      <w:sz w:val="18"/>
      <w:szCs w:val="18"/>
    </w:rPr>
  </w:style>
  <w:style w:type="paragraph" w:customStyle="1" w:styleId="15">
    <w:name w:val="列出段落1"/>
    <w:basedOn w:val="1"/>
    <w:autoRedefine/>
    <w:qFormat/>
    <w:uiPriority w:val="99"/>
    <w:pPr>
      <w:ind w:firstLine="420" w:firstLineChars="200"/>
    </w:pPr>
  </w:style>
  <w:style w:type="character" w:customStyle="1" w:styleId="16">
    <w:name w:val="批注文字 Char"/>
    <w:basedOn w:val="9"/>
    <w:link w:val="2"/>
    <w:semiHidden/>
    <w:qFormat/>
    <w:uiPriority w:val="99"/>
    <w:rPr>
      <w:rFonts w:ascii="Calibri" w:hAnsi="Calibri" w:cs="Calibri"/>
      <w:sz w:val="21"/>
      <w:szCs w:val="21"/>
    </w:rPr>
  </w:style>
  <w:style w:type="character" w:customStyle="1" w:styleId="17">
    <w:name w:val="批注主题 Char"/>
    <w:basedOn w:val="16"/>
    <w:link w:val="7"/>
    <w:semiHidden/>
    <w:qFormat/>
    <w:uiPriority w:val="99"/>
    <w:rPr>
      <w:rFonts w:ascii="Calibri" w:hAnsi="Calibri" w:cs="Calibri"/>
      <w:b/>
      <w:bCs/>
      <w:sz w:val="21"/>
      <w:szCs w:val="21"/>
    </w:rPr>
  </w:style>
  <w:style w:type="character" w:customStyle="1" w:styleId="18">
    <w:name w:val="批注框文本 Char"/>
    <w:basedOn w:val="9"/>
    <w:link w:val="3"/>
    <w:autoRedefine/>
    <w:semiHidden/>
    <w:qFormat/>
    <w:uiPriority w:val="99"/>
    <w:rPr>
      <w:rFonts w:ascii="Calibri" w:hAnsi="Calibri" w:cs="Calibri"/>
      <w:sz w:val="2"/>
      <w:szCs w:val="2"/>
    </w:rPr>
  </w:style>
  <w:style w:type="paragraph" w:customStyle="1" w:styleId="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1">
    <w:name w:val="xl1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2">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
    <w:name w:val="xl15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FF"/>
      <w:kern w:val="0"/>
      <w:sz w:val="20"/>
      <w:szCs w:val="20"/>
    </w:rPr>
  </w:style>
  <w:style w:type="paragraph" w:customStyle="1" w:styleId="24">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5">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6">
    <w:name w:val="xl1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FF"/>
      <w:kern w:val="0"/>
      <w:sz w:val="20"/>
      <w:szCs w:val="20"/>
    </w:rPr>
  </w:style>
  <w:style w:type="paragraph" w:customStyle="1" w:styleId="27">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28">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6964</Words>
  <Characters>11655</Characters>
  <Lines>97</Lines>
  <Paragraphs>27</Paragraphs>
  <TotalTime>5</TotalTime>
  <ScaleCrop>false</ScaleCrop>
  <LinksUpToDate>false</LinksUpToDate>
  <CharactersWithSpaces>11724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2023-11-23T00:56:00Z</dcterms:created>
  <dc:creator>Lenovo</dc:creator>
  <cp:lastModifiedBy>Administrator</cp:lastModifiedBy>
  <cp:lastPrinted>2024-07-30T23:43:05Z</cp:lastPrinted>
  <dcterms:modified xsi:type="dcterms:W3CDTF">2024-07-30T23:43:11Z</dcterms:modified>
  <dc:title>商 品 房 预 售 方 案</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47AF2FC63E314A20B3429F2E90510997_12</vt:lpwstr>
  </property>
</Properties>
</file>