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</w:p>
    <w:p>
      <w:pPr>
        <w:jc w:val="center"/>
        <w:rPr>
          <w:sz w:val="44"/>
          <w:szCs w:val="44"/>
        </w:rPr>
      </w:pPr>
    </w:p>
    <w:p>
      <w:pPr>
        <w:jc w:val="center"/>
        <w:rPr>
          <w:sz w:val="44"/>
          <w:szCs w:val="44"/>
        </w:rPr>
      </w:pPr>
      <w:bookmarkStart w:id="0" w:name="_GoBack"/>
      <w:bookmarkEnd w:id="0"/>
      <w:r>
        <w:rPr>
          <w:sz w:val="44"/>
          <w:szCs w:val="44"/>
        </w:rPr>
        <w:t>商品房共有共用部位明细表</w:t>
      </w:r>
    </w:p>
    <w:p>
      <w:pPr>
        <w:jc w:val="center"/>
        <w:rPr>
          <w:sz w:val="44"/>
          <w:szCs w:val="44"/>
        </w:rPr>
      </w:pPr>
      <w:r>
        <w:rPr>
          <w:sz w:val="44"/>
        </w:rPr>
        <w:pict>
          <v:shape id="_x0000_s1070" o:spid="_x0000_s1070" o:spt="202" type="#_x0000_t202" style="position:absolute;left:0pt;margin-left:204.55pt;margin-top:19.35pt;height:43.7pt;width:99.05pt;z-index:2516633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>
              <w:txbxContent>
                <w:p>
                  <w:pPr>
                    <w:rPr>
                      <w:rFonts w:hint="eastAsia" w:ascii="宋体" w:hAnsi="宋体" w:eastAsia="宋体" w:cs="宋体"/>
                      <w:sz w:val="30"/>
                      <w:szCs w:val="30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30"/>
                      <w:szCs w:val="30"/>
                    </w:rPr>
                    <w:t>2023010066</w:t>
                  </w:r>
                  <w:r>
                    <w:rPr>
                      <w:rFonts w:hint="eastAsia" w:ascii="宋体" w:hAnsi="宋体" w:eastAsia="宋体" w:cs="宋体"/>
                      <w:sz w:val="30"/>
                      <w:szCs w:val="30"/>
                      <w:lang w:val="en-US" w:eastAsia="zh-CN"/>
                    </w:rPr>
                    <w:t>4</w:t>
                  </w:r>
                </w:p>
              </w:txbxContent>
            </v:textbox>
          </v:shape>
        </w:pict>
      </w:r>
      <w:r>
        <w:rPr>
          <w:sz w:val="24"/>
        </w:rPr>
        <w:pict>
          <v:shape id="_x0000_s1067" o:spid="_x0000_s1067" o:spt="202" type="#_x0000_t202" style="position:absolute;left:0pt;margin-left:427.35pt;margin-top:18.3pt;height:39.4pt;width:98.3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>
              <w:txbxContent>
                <w:p>
                  <w:pPr>
                    <w:rPr>
                      <w:rFonts w:hint="eastAsia" w:ascii="宋体" w:hAnsi="宋体" w:eastAsia="宋体" w:cs="宋体"/>
                      <w:sz w:val="30"/>
                      <w:szCs w:val="30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30"/>
                      <w:szCs w:val="30"/>
                    </w:rPr>
                    <w:t>2023010066</w:t>
                  </w:r>
                  <w:r>
                    <w:rPr>
                      <w:rFonts w:hint="eastAsia" w:ascii="宋体" w:hAnsi="宋体" w:eastAsia="宋体" w:cs="宋体"/>
                      <w:sz w:val="30"/>
                      <w:szCs w:val="30"/>
                      <w:lang w:val="en-US" w:eastAsia="zh-CN"/>
                    </w:rPr>
                    <w:t>6</w:t>
                  </w:r>
                </w:p>
              </w:txbxContent>
            </v:textbox>
          </v:shape>
        </w:pict>
      </w:r>
      <w:r>
        <w:rPr>
          <w:sz w:val="24"/>
        </w:rPr>
        <w:pict>
          <v:shape id="_x0000_s1072" o:spid="_x0000_s1072" o:spt="202" type="#_x0000_t202" style="position:absolute;left:0pt;margin-left:661.35pt;margin-top:18.2pt;height:38.4pt;width:98.3pt;z-index:25166540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>
              <w:txbxContent>
                <w:p>
                  <w:pPr>
                    <w:rPr>
                      <w:rFonts w:hint="eastAsia" w:ascii="宋体" w:hAnsi="宋体" w:eastAsia="宋体" w:cs="宋体"/>
                      <w:sz w:val="30"/>
                      <w:szCs w:val="30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30"/>
                      <w:szCs w:val="30"/>
                    </w:rPr>
                    <w:t>202301006</w:t>
                  </w:r>
                  <w:r>
                    <w:rPr>
                      <w:rFonts w:hint="eastAsia" w:ascii="宋体" w:hAnsi="宋体" w:eastAsia="宋体" w:cs="宋体"/>
                      <w:sz w:val="30"/>
                      <w:szCs w:val="30"/>
                      <w:lang w:val="en-US" w:eastAsia="zh-CN"/>
                    </w:rPr>
                    <w:t>68</w:t>
                  </w:r>
                </w:p>
              </w:txbxContent>
            </v:textbox>
          </v:shape>
        </w:pict>
      </w:r>
      <w:r>
        <w:rPr>
          <w:sz w:val="24"/>
        </w:rPr>
        <w:pict>
          <v:shape id="_x0000_s1069" o:spid="_x0000_s1069" o:spt="202" type="#_x0000_t202" style="position:absolute;left:0pt;margin-left:538.25pt;margin-top:18.25pt;height:36.3pt;width:108pt;z-index:2516623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>
              <w:txbxContent>
                <w:p>
                  <w:pPr>
                    <w:rPr>
                      <w:rFonts w:hint="eastAsia" w:ascii="宋体" w:hAnsi="宋体" w:eastAsia="宋体" w:cs="宋体"/>
                      <w:sz w:val="30"/>
                      <w:szCs w:val="30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30"/>
                      <w:szCs w:val="30"/>
                    </w:rPr>
                    <w:t>2023010066</w:t>
                  </w:r>
                  <w:r>
                    <w:rPr>
                      <w:rFonts w:hint="eastAsia" w:ascii="宋体" w:hAnsi="宋体" w:eastAsia="宋体" w:cs="宋体"/>
                      <w:sz w:val="30"/>
                      <w:szCs w:val="30"/>
                      <w:lang w:val="en-US" w:eastAsia="zh-CN"/>
                    </w:rPr>
                    <w:t>7</w:t>
                  </w:r>
                </w:p>
              </w:txbxContent>
            </v:textbox>
          </v:shape>
        </w:pict>
      </w:r>
      <w:r>
        <w:rPr>
          <w:sz w:val="24"/>
        </w:rPr>
        <w:pict>
          <v:shape id="_x0000_s1073" o:spid="_x0000_s1073" o:spt="202" type="#_x0000_t202" style="position:absolute;left:0pt;margin-left:773.95pt;margin-top:17.45pt;height:38.4pt;width:106.5pt;z-index:25166643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>
              <w:txbxContent>
                <w:p>
                  <w:pPr>
                    <w:rPr>
                      <w:rFonts w:hint="eastAsia" w:ascii="宋体" w:hAnsi="宋体" w:eastAsia="宋体" w:cs="宋体"/>
                      <w:sz w:val="30"/>
                      <w:szCs w:val="30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30"/>
                      <w:szCs w:val="30"/>
                    </w:rPr>
                    <w:t>2023010066</w:t>
                  </w:r>
                  <w:r>
                    <w:rPr>
                      <w:rFonts w:hint="eastAsia" w:ascii="宋体" w:hAnsi="宋体" w:eastAsia="宋体" w:cs="宋体"/>
                      <w:sz w:val="30"/>
                      <w:szCs w:val="30"/>
                      <w:lang w:val="en-US" w:eastAsia="zh-CN"/>
                    </w:rPr>
                    <w:t>9</w:t>
                  </w:r>
                </w:p>
              </w:txbxContent>
            </v:textbox>
          </v:shape>
        </w:pict>
      </w:r>
      <w:r>
        <w:rPr>
          <w:sz w:val="44"/>
        </w:rPr>
        <w:pict>
          <v:shape id="_x0000_s1071" o:spid="_x0000_s1071" o:spt="202" type="#_x0000_t202" style="position:absolute;left:0pt;margin-left:313.6pt;margin-top:19.2pt;height:41.6pt;width:99.05pt;z-index:25166438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>
              <w:txbxContent>
                <w:p>
                  <w:pPr>
                    <w:rPr>
                      <w:rFonts w:hint="eastAsia" w:ascii="宋体" w:hAnsi="宋体" w:eastAsia="宋体" w:cs="宋体"/>
                      <w:sz w:val="30"/>
                      <w:szCs w:val="30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30"/>
                      <w:szCs w:val="30"/>
                    </w:rPr>
                    <w:t>2023010066</w:t>
                  </w:r>
                  <w:r>
                    <w:rPr>
                      <w:rFonts w:hint="eastAsia" w:ascii="宋体" w:hAnsi="宋体" w:eastAsia="宋体" w:cs="宋体"/>
                      <w:sz w:val="30"/>
                      <w:szCs w:val="30"/>
                      <w:lang w:val="en-US" w:eastAsia="zh-CN"/>
                    </w:rPr>
                    <w:t>5</w:t>
                  </w:r>
                </w:p>
              </w:txbxContent>
            </v:textbox>
          </v:shape>
        </w:pict>
      </w:r>
      <w:r>
        <w:rPr>
          <w:sz w:val="44"/>
        </w:rPr>
        <w:pict>
          <v:shape id="_x0000_s1068" o:spid="_x0000_s1068" o:spt="202" type="#_x0000_t202" style="position:absolute;left:0pt;margin-left:94.3pt;margin-top:19.1pt;height:40.55pt;width:99.75pt;z-index:2516613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>
              <w:txbxContent>
                <w:p>
                  <w:pPr>
                    <w:rPr>
                      <w:rFonts w:hint="eastAsia" w:ascii="宋体" w:hAnsi="宋体" w:eastAsia="宋体" w:cs="宋体"/>
                      <w:sz w:val="30"/>
                      <w:szCs w:val="30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30"/>
                      <w:szCs w:val="30"/>
                    </w:rPr>
                    <w:t>2023010066</w:t>
                  </w:r>
                  <w:r>
                    <w:rPr>
                      <w:rFonts w:hint="eastAsia" w:ascii="宋体" w:hAnsi="宋体" w:eastAsia="宋体" w:cs="宋体"/>
                      <w:sz w:val="30"/>
                      <w:szCs w:val="30"/>
                      <w:lang w:val="en-US" w:eastAsia="zh-CN"/>
                    </w:rPr>
                    <w:t>3</w:t>
                  </w:r>
                </w:p>
              </w:txbxContent>
            </v:textbox>
          </v:shape>
        </w:pict>
      </w:r>
      <w:r>
        <w:rPr>
          <w:sz w:val="44"/>
        </w:rPr>
        <w:pict>
          <v:shape id="_x0000_s1066" o:spid="_x0000_s1066" o:spt="202" type="#_x0000_t202" style="position:absolute;left:0pt;margin-left:-5.3pt;margin-top:20.35pt;height:39.45pt;width:105.7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>
              <w:txbxContent>
                <w:p>
                  <w:pPr>
                    <w:rPr>
                      <w:rFonts w:hint="eastAsia" w:ascii="宋体" w:hAnsi="宋体" w:eastAsia="宋体" w:cs="宋体"/>
                      <w:sz w:val="30"/>
                      <w:szCs w:val="30"/>
                    </w:rPr>
                  </w:pPr>
                  <w:r>
                    <w:rPr>
                      <w:rFonts w:hint="eastAsia" w:ascii="宋体" w:hAnsi="宋体" w:eastAsia="宋体" w:cs="宋体"/>
                      <w:sz w:val="30"/>
                      <w:szCs w:val="30"/>
                    </w:rPr>
                    <w:t>20230100662</w:t>
                  </w:r>
                </w:p>
              </w:txbxContent>
            </v:textbox>
          </v:shape>
        </w:pict>
      </w:r>
    </w:p>
    <w:p>
      <w:pPr>
        <w:jc w:val="both"/>
        <w:rPr>
          <w:sz w:val="24"/>
          <w:szCs w:val="24"/>
        </w:rPr>
      </w:pPr>
    </w:p>
    <w:tbl>
      <w:tblPr>
        <w:tblStyle w:val="4"/>
        <w:tblpPr w:leftFromText="180" w:rightFromText="180" w:vertAnchor="text" w:horzAnchor="page" w:tblpX="1380" w:tblpY="347"/>
        <w:tblOverlap w:val="never"/>
        <w:tblW w:w="212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3427"/>
        <w:gridCol w:w="3427"/>
        <w:gridCol w:w="3427"/>
        <w:gridCol w:w="3020"/>
        <w:gridCol w:w="2086"/>
        <w:gridCol w:w="4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78" w:type="dxa"/>
            <w:vAlign w:val="center"/>
          </w:tcPr>
          <w:p>
            <w:pPr>
              <w:spacing w:line="48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幢号</w:t>
            </w:r>
          </w:p>
        </w:tc>
        <w:tc>
          <w:tcPr>
            <w:tcW w:w="10281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计入分摊面积的共有共用部位</w:t>
            </w:r>
            <w:r>
              <w:rPr>
                <w:rFonts w:hint="eastAsia"/>
                <w:sz w:val="21"/>
                <w:szCs w:val="21"/>
              </w:rPr>
              <w:t>（本幢）</w:t>
            </w:r>
          </w:p>
          <w:p>
            <w:pPr>
              <w:spacing w:line="48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单位：平方米</w:t>
            </w:r>
          </w:p>
        </w:tc>
        <w:tc>
          <w:tcPr>
            <w:tcW w:w="3020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未计入分摊面积的共有共用部位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单位：平方米</w:t>
            </w:r>
          </w:p>
        </w:tc>
        <w:tc>
          <w:tcPr>
            <w:tcW w:w="441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公共配套建筑</w:t>
            </w:r>
            <w:r>
              <w:rPr>
                <w:rFonts w:hint="eastAsia"/>
                <w:sz w:val="21"/>
                <w:szCs w:val="21"/>
              </w:rPr>
              <w:t>（部位）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单位：平方米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78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427" w:type="dxa"/>
            <w:vAlign w:val="center"/>
          </w:tcPr>
          <w:p>
            <w:pPr>
              <w:spacing w:line="480" w:lineRule="auto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外墙：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350.76</w:t>
            </w:r>
          </w:p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幢共用</w:t>
            </w:r>
          </w:p>
        </w:tc>
        <w:tc>
          <w:tcPr>
            <w:tcW w:w="3427" w:type="dxa"/>
            <w:vAlign w:val="center"/>
          </w:tcPr>
          <w:p>
            <w:pPr>
              <w:spacing w:line="480" w:lineRule="auto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门厅：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24.06</w:t>
            </w:r>
          </w:p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幢共用</w:t>
            </w:r>
          </w:p>
        </w:tc>
        <w:tc>
          <w:tcPr>
            <w:tcW w:w="3427" w:type="dxa"/>
            <w:vAlign w:val="center"/>
          </w:tcPr>
          <w:p>
            <w:pPr>
              <w:spacing w:line="480" w:lineRule="auto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梯：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1792.6</w:t>
            </w:r>
          </w:p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幢共用</w:t>
            </w:r>
          </w:p>
        </w:tc>
        <w:tc>
          <w:tcPr>
            <w:tcW w:w="3020" w:type="dxa"/>
            <w:vAlign w:val="center"/>
          </w:tcPr>
          <w:p>
            <w:pPr>
              <w:spacing w:line="480" w:lineRule="auto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保温：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472.35</w:t>
            </w:r>
          </w:p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幢共用</w:t>
            </w:r>
          </w:p>
        </w:tc>
        <w:tc>
          <w:tcPr>
            <w:tcW w:w="2086" w:type="dxa"/>
            <w:vMerge w:val="restart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4414" w:type="dxa"/>
            <w:vMerge w:val="restart"/>
            <w:vAlign w:val="center"/>
          </w:tcPr>
          <w:p>
            <w:pPr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实配物业用房共2套，建筑面积349.95平方米。分别位于位于9号配套楼1-103（6.28平方米）、1-201（343.67平方米）。</w:t>
            </w:r>
          </w:p>
          <w:p>
            <w:pPr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社区办公活动用房共2套，建筑面积517.35平方米。分别位于10号配套楼1-101（227.01平方米）、1-201（290.34平方米）。</w:t>
            </w:r>
          </w:p>
          <w:p>
            <w:pPr>
              <w:ind w:firstLine="560" w:firstLineChars="20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其中业主委员会议事用房1套位于9号配套楼1-202室（32.29平方米）。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78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27" w:type="dxa"/>
            <w:vAlign w:val="center"/>
          </w:tcPr>
          <w:p>
            <w:pPr>
              <w:spacing w:line="480" w:lineRule="auto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外墙：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350.76</w:t>
            </w:r>
          </w:p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幢共用</w:t>
            </w:r>
          </w:p>
        </w:tc>
        <w:tc>
          <w:tcPr>
            <w:tcW w:w="3427" w:type="dxa"/>
            <w:vAlign w:val="center"/>
          </w:tcPr>
          <w:p>
            <w:pPr>
              <w:spacing w:line="480" w:lineRule="auto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门厅：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24.06</w:t>
            </w:r>
          </w:p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幢共用</w:t>
            </w:r>
          </w:p>
        </w:tc>
        <w:tc>
          <w:tcPr>
            <w:tcW w:w="3427" w:type="dxa"/>
            <w:vAlign w:val="center"/>
          </w:tcPr>
          <w:p>
            <w:pPr>
              <w:spacing w:line="480" w:lineRule="auto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梯：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1792.6</w:t>
            </w:r>
          </w:p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幢共用</w:t>
            </w:r>
          </w:p>
        </w:tc>
        <w:tc>
          <w:tcPr>
            <w:tcW w:w="3020" w:type="dxa"/>
            <w:vAlign w:val="center"/>
          </w:tcPr>
          <w:p>
            <w:pPr>
              <w:spacing w:line="480" w:lineRule="auto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保温：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472.35</w:t>
            </w:r>
          </w:p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幢共用</w:t>
            </w:r>
          </w:p>
        </w:tc>
        <w:tc>
          <w:tcPr>
            <w:tcW w:w="2086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414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478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427" w:type="dxa"/>
            <w:vAlign w:val="center"/>
          </w:tcPr>
          <w:p>
            <w:pPr>
              <w:spacing w:line="480" w:lineRule="auto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外墙：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265.62</w:t>
            </w:r>
          </w:p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幢共用</w:t>
            </w:r>
          </w:p>
        </w:tc>
        <w:tc>
          <w:tcPr>
            <w:tcW w:w="3427" w:type="dxa"/>
            <w:vAlign w:val="center"/>
          </w:tcPr>
          <w:p>
            <w:pPr>
              <w:spacing w:line="480" w:lineRule="auto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门厅：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16.04</w:t>
            </w:r>
          </w:p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幢共用</w:t>
            </w:r>
          </w:p>
        </w:tc>
        <w:tc>
          <w:tcPr>
            <w:tcW w:w="3427" w:type="dxa"/>
            <w:vAlign w:val="center"/>
          </w:tcPr>
          <w:p>
            <w:pPr>
              <w:spacing w:line="480" w:lineRule="auto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梯：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1203.82</w:t>
            </w:r>
          </w:p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幢共用</w:t>
            </w:r>
          </w:p>
        </w:tc>
        <w:tc>
          <w:tcPr>
            <w:tcW w:w="3020" w:type="dxa"/>
            <w:vAlign w:val="center"/>
          </w:tcPr>
          <w:p>
            <w:pPr>
              <w:spacing w:line="480" w:lineRule="auto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保温：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382.15</w:t>
            </w:r>
          </w:p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幢共用</w:t>
            </w:r>
          </w:p>
        </w:tc>
        <w:tc>
          <w:tcPr>
            <w:tcW w:w="2086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414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78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427" w:type="dxa"/>
            <w:vAlign w:val="center"/>
          </w:tcPr>
          <w:p>
            <w:pPr>
              <w:spacing w:line="480" w:lineRule="auto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外墙：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265.62</w:t>
            </w:r>
          </w:p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幢共用</w:t>
            </w:r>
          </w:p>
        </w:tc>
        <w:tc>
          <w:tcPr>
            <w:tcW w:w="3427" w:type="dxa"/>
            <w:vAlign w:val="center"/>
          </w:tcPr>
          <w:p>
            <w:pPr>
              <w:spacing w:line="480" w:lineRule="auto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门厅：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16.04</w:t>
            </w:r>
          </w:p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幢共用</w:t>
            </w:r>
          </w:p>
        </w:tc>
        <w:tc>
          <w:tcPr>
            <w:tcW w:w="3427" w:type="dxa"/>
            <w:vAlign w:val="center"/>
          </w:tcPr>
          <w:p>
            <w:pPr>
              <w:spacing w:line="480" w:lineRule="auto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梯：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1203.82</w:t>
            </w:r>
          </w:p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幢共用</w:t>
            </w:r>
          </w:p>
        </w:tc>
        <w:tc>
          <w:tcPr>
            <w:tcW w:w="3020" w:type="dxa"/>
            <w:vAlign w:val="center"/>
          </w:tcPr>
          <w:p>
            <w:pPr>
              <w:spacing w:line="480" w:lineRule="auto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保温：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382.15</w:t>
            </w:r>
          </w:p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幢共用</w:t>
            </w:r>
          </w:p>
        </w:tc>
        <w:tc>
          <w:tcPr>
            <w:tcW w:w="2086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414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478" w:type="dxa"/>
            <w:vAlign w:val="center"/>
          </w:tcPr>
          <w:p>
            <w:pPr>
              <w:spacing w:line="480" w:lineRule="auto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427" w:type="dxa"/>
            <w:vAlign w:val="center"/>
          </w:tcPr>
          <w:p>
            <w:pPr>
              <w:spacing w:line="480" w:lineRule="auto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外墙：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808.42</w:t>
            </w:r>
          </w:p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幢共用</w:t>
            </w:r>
          </w:p>
        </w:tc>
        <w:tc>
          <w:tcPr>
            <w:tcW w:w="3427" w:type="dxa"/>
            <w:vAlign w:val="center"/>
          </w:tcPr>
          <w:p>
            <w:pPr>
              <w:spacing w:line="480" w:lineRule="auto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门厅：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27.83</w:t>
            </w:r>
          </w:p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幢共用</w:t>
            </w:r>
          </w:p>
        </w:tc>
        <w:tc>
          <w:tcPr>
            <w:tcW w:w="3427" w:type="dxa"/>
            <w:vAlign w:val="center"/>
          </w:tcPr>
          <w:p>
            <w:pPr>
              <w:spacing w:line="480" w:lineRule="auto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梯：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2527.46</w:t>
            </w:r>
          </w:p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幢共用</w:t>
            </w:r>
          </w:p>
        </w:tc>
        <w:tc>
          <w:tcPr>
            <w:tcW w:w="3020" w:type="dxa"/>
            <w:vAlign w:val="center"/>
          </w:tcPr>
          <w:p>
            <w:pPr>
              <w:spacing w:line="480" w:lineRule="auto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连廊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235.62</w:t>
            </w:r>
          </w:p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幢共用</w:t>
            </w:r>
          </w:p>
        </w:tc>
        <w:tc>
          <w:tcPr>
            <w:tcW w:w="2086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414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478" w:type="dxa"/>
            <w:vAlign w:val="center"/>
          </w:tcPr>
          <w:p>
            <w:pPr>
              <w:spacing w:line="480" w:lineRule="auto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427" w:type="dxa"/>
            <w:vAlign w:val="center"/>
          </w:tcPr>
          <w:p>
            <w:pPr>
              <w:spacing w:line="480" w:lineRule="auto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外墙：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808.42</w:t>
            </w:r>
          </w:p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幢共用</w:t>
            </w:r>
          </w:p>
        </w:tc>
        <w:tc>
          <w:tcPr>
            <w:tcW w:w="3427" w:type="dxa"/>
            <w:vAlign w:val="center"/>
          </w:tcPr>
          <w:p>
            <w:pPr>
              <w:spacing w:line="480" w:lineRule="auto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门厅：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27.83</w:t>
            </w:r>
          </w:p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幢共用</w:t>
            </w:r>
          </w:p>
        </w:tc>
        <w:tc>
          <w:tcPr>
            <w:tcW w:w="3427" w:type="dxa"/>
            <w:vAlign w:val="center"/>
          </w:tcPr>
          <w:p>
            <w:pPr>
              <w:spacing w:line="480" w:lineRule="auto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梯：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2527.46</w:t>
            </w:r>
          </w:p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幢共用</w:t>
            </w:r>
          </w:p>
        </w:tc>
        <w:tc>
          <w:tcPr>
            <w:tcW w:w="3020" w:type="dxa"/>
            <w:vAlign w:val="center"/>
          </w:tcPr>
          <w:p>
            <w:pPr>
              <w:spacing w:line="480" w:lineRule="auto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连廊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235.62</w:t>
            </w:r>
          </w:p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幢共用</w:t>
            </w:r>
          </w:p>
        </w:tc>
        <w:tc>
          <w:tcPr>
            <w:tcW w:w="2086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414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478" w:type="dxa"/>
            <w:vAlign w:val="center"/>
          </w:tcPr>
          <w:p>
            <w:pPr>
              <w:spacing w:line="480" w:lineRule="auto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427" w:type="dxa"/>
            <w:vAlign w:val="center"/>
          </w:tcPr>
          <w:p>
            <w:pPr>
              <w:spacing w:line="480" w:lineRule="auto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外墙：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812.66</w:t>
            </w:r>
          </w:p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幢共用</w:t>
            </w:r>
          </w:p>
        </w:tc>
        <w:tc>
          <w:tcPr>
            <w:tcW w:w="3427" w:type="dxa"/>
            <w:vAlign w:val="center"/>
          </w:tcPr>
          <w:p>
            <w:pPr>
              <w:spacing w:line="480" w:lineRule="auto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门厅：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27.83</w:t>
            </w:r>
          </w:p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幢共用</w:t>
            </w:r>
          </w:p>
        </w:tc>
        <w:tc>
          <w:tcPr>
            <w:tcW w:w="3427" w:type="dxa"/>
            <w:vAlign w:val="center"/>
          </w:tcPr>
          <w:p>
            <w:pPr>
              <w:spacing w:line="480" w:lineRule="auto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梯：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2527.46</w:t>
            </w:r>
          </w:p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幢共用</w:t>
            </w:r>
          </w:p>
        </w:tc>
        <w:tc>
          <w:tcPr>
            <w:tcW w:w="3020" w:type="dxa"/>
            <w:vAlign w:val="center"/>
          </w:tcPr>
          <w:p>
            <w:pPr>
              <w:spacing w:line="480" w:lineRule="auto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连廊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235.62</w:t>
            </w:r>
          </w:p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幢共用</w:t>
            </w:r>
          </w:p>
        </w:tc>
        <w:tc>
          <w:tcPr>
            <w:tcW w:w="2086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414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atLeast"/>
        </w:trPr>
        <w:tc>
          <w:tcPr>
            <w:tcW w:w="21279" w:type="dxa"/>
            <w:gridSpan w:val="7"/>
          </w:tcPr>
          <w:p>
            <w:pPr>
              <w:spacing w:line="360" w:lineRule="auto"/>
              <w:ind w:firstLine="1260" w:firstLineChars="6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   1、计入（本幢）分摊面积的共有共用部位，其建筑面积已分摊至购房者的共有共用面积中，购房者拥有共有产权。</w:t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2、未计入分摊面积的共有共用部位，产权归全体购房者，购房者享有使用权。但不予颁发房屋所有权证。</w:t>
            </w:r>
          </w:p>
          <w:p>
            <w:pPr>
              <w:tabs>
                <w:tab w:val="left" w:pos="16370"/>
              </w:tabs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明   3、公共配套建筑（部位）是开发商根据总体规划需求而建，在不改变用途下，开发商享有使用、收益权利。</w:t>
            </w:r>
            <w:r>
              <w:rPr>
                <w:sz w:val="21"/>
                <w:szCs w:val="21"/>
              </w:rPr>
              <w:tab/>
            </w:r>
          </w:p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4、此面积为暂测面积。</w:t>
            </w:r>
          </w:p>
        </w:tc>
      </w:tr>
    </w:tbl>
    <w:p>
      <w:pPr>
        <w:rPr>
          <w:sz w:val="28"/>
          <w:szCs w:val="28"/>
        </w:rPr>
      </w:pPr>
    </w:p>
    <w:p>
      <w:pPr>
        <w:rPr>
          <w:lang w:val="en-US" w:eastAsia="zh-CN"/>
        </w:rPr>
      </w:pPr>
    </w:p>
    <w:sectPr>
      <w:pgSz w:w="23757" w:h="16783" w:orient="landscape"/>
      <w:pgMar w:top="283" w:right="1440" w:bottom="28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YxODdkZmJkOGE2MDg1M2YyMmRmZTgxZTI2MGEzOTQifQ=="/>
  </w:docVars>
  <w:rsids>
    <w:rsidRoot w:val="002F5A56"/>
    <w:rsid w:val="000422D4"/>
    <w:rsid w:val="00044D77"/>
    <w:rsid w:val="00056CAF"/>
    <w:rsid w:val="00066DDD"/>
    <w:rsid w:val="00096D58"/>
    <w:rsid w:val="000C26C9"/>
    <w:rsid w:val="000E3B86"/>
    <w:rsid w:val="000F300A"/>
    <w:rsid w:val="00101717"/>
    <w:rsid w:val="001217B9"/>
    <w:rsid w:val="00134FD5"/>
    <w:rsid w:val="001560CA"/>
    <w:rsid w:val="00183FED"/>
    <w:rsid w:val="001C03DB"/>
    <w:rsid w:val="001C7437"/>
    <w:rsid w:val="001D3D0F"/>
    <w:rsid w:val="001E31B0"/>
    <w:rsid w:val="001E3CB1"/>
    <w:rsid w:val="001F0E55"/>
    <w:rsid w:val="00263D94"/>
    <w:rsid w:val="00265632"/>
    <w:rsid w:val="00273106"/>
    <w:rsid w:val="002737DB"/>
    <w:rsid w:val="00280E3E"/>
    <w:rsid w:val="002A6135"/>
    <w:rsid w:val="002A6C0F"/>
    <w:rsid w:val="002A72F4"/>
    <w:rsid w:val="002B2C6E"/>
    <w:rsid w:val="002D0E8D"/>
    <w:rsid w:val="002E4045"/>
    <w:rsid w:val="002E7658"/>
    <w:rsid w:val="002F5A56"/>
    <w:rsid w:val="003153D1"/>
    <w:rsid w:val="00323D90"/>
    <w:rsid w:val="0035025D"/>
    <w:rsid w:val="0035362B"/>
    <w:rsid w:val="003651E6"/>
    <w:rsid w:val="00374046"/>
    <w:rsid w:val="0039436F"/>
    <w:rsid w:val="003973BE"/>
    <w:rsid w:val="003A03AC"/>
    <w:rsid w:val="003A3BF3"/>
    <w:rsid w:val="00404D59"/>
    <w:rsid w:val="004107B9"/>
    <w:rsid w:val="00412D2C"/>
    <w:rsid w:val="0041476D"/>
    <w:rsid w:val="004218A8"/>
    <w:rsid w:val="004242A4"/>
    <w:rsid w:val="0045588F"/>
    <w:rsid w:val="00471039"/>
    <w:rsid w:val="00486B47"/>
    <w:rsid w:val="004D0677"/>
    <w:rsid w:val="004D2CC9"/>
    <w:rsid w:val="004D2F64"/>
    <w:rsid w:val="004D7A58"/>
    <w:rsid w:val="005132E4"/>
    <w:rsid w:val="0052139A"/>
    <w:rsid w:val="0053460F"/>
    <w:rsid w:val="00564AB3"/>
    <w:rsid w:val="00570B9D"/>
    <w:rsid w:val="00574E38"/>
    <w:rsid w:val="0059293D"/>
    <w:rsid w:val="005C01A6"/>
    <w:rsid w:val="005E2475"/>
    <w:rsid w:val="005E46CD"/>
    <w:rsid w:val="005E78B2"/>
    <w:rsid w:val="005F2430"/>
    <w:rsid w:val="0060587D"/>
    <w:rsid w:val="0061042D"/>
    <w:rsid w:val="00635938"/>
    <w:rsid w:val="0065482E"/>
    <w:rsid w:val="00663465"/>
    <w:rsid w:val="00671BE1"/>
    <w:rsid w:val="00682A04"/>
    <w:rsid w:val="006D19E9"/>
    <w:rsid w:val="006F5557"/>
    <w:rsid w:val="0071284F"/>
    <w:rsid w:val="0075386F"/>
    <w:rsid w:val="00754F0C"/>
    <w:rsid w:val="00761CA0"/>
    <w:rsid w:val="00761DEE"/>
    <w:rsid w:val="007662A6"/>
    <w:rsid w:val="00773457"/>
    <w:rsid w:val="00784FC4"/>
    <w:rsid w:val="00796170"/>
    <w:rsid w:val="007A281A"/>
    <w:rsid w:val="007B48EC"/>
    <w:rsid w:val="007C1FFC"/>
    <w:rsid w:val="007D42D0"/>
    <w:rsid w:val="007E0E25"/>
    <w:rsid w:val="007E3308"/>
    <w:rsid w:val="007E687E"/>
    <w:rsid w:val="00834DDE"/>
    <w:rsid w:val="00857B6D"/>
    <w:rsid w:val="00874EFE"/>
    <w:rsid w:val="00896BAC"/>
    <w:rsid w:val="008B42E7"/>
    <w:rsid w:val="008E4CC8"/>
    <w:rsid w:val="008E7A34"/>
    <w:rsid w:val="008F3E6F"/>
    <w:rsid w:val="0090205F"/>
    <w:rsid w:val="00934E0C"/>
    <w:rsid w:val="00935D7F"/>
    <w:rsid w:val="00963CE4"/>
    <w:rsid w:val="009A4337"/>
    <w:rsid w:val="009E158C"/>
    <w:rsid w:val="009F78E3"/>
    <w:rsid w:val="00A25D78"/>
    <w:rsid w:val="00A40DDC"/>
    <w:rsid w:val="00A41D13"/>
    <w:rsid w:val="00A45D9B"/>
    <w:rsid w:val="00A528D1"/>
    <w:rsid w:val="00A66E76"/>
    <w:rsid w:val="00A97536"/>
    <w:rsid w:val="00AA02D2"/>
    <w:rsid w:val="00AB2303"/>
    <w:rsid w:val="00AE2B89"/>
    <w:rsid w:val="00B42261"/>
    <w:rsid w:val="00B5377E"/>
    <w:rsid w:val="00B56993"/>
    <w:rsid w:val="00B659EF"/>
    <w:rsid w:val="00B74B3F"/>
    <w:rsid w:val="00B764B4"/>
    <w:rsid w:val="00BD0776"/>
    <w:rsid w:val="00BE4F3F"/>
    <w:rsid w:val="00BF612B"/>
    <w:rsid w:val="00C55FF8"/>
    <w:rsid w:val="00C6699D"/>
    <w:rsid w:val="00CA0667"/>
    <w:rsid w:val="00CA09FB"/>
    <w:rsid w:val="00CC0343"/>
    <w:rsid w:val="00CD56D6"/>
    <w:rsid w:val="00CF3CE5"/>
    <w:rsid w:val="00D00DBF"/>
    <w:rsid w:val="00D35FC2"/>
    <w:rsid w:val="00D37F46"/>
    <w:rsid w:val="00D524DC"/>
    <w:rsid w:val="00D55EE4"/>
    <w:rsid w:val="00D923DF"/>
    <w:rsid w:val="00DA76F3"/>
    <w:rsid w:val="00DB05E2"/>
    <w:rsid w:val="00DB6CB5"/>
    <w:rsid w:val="00DC20E4"/>
    <w:rsid w:val="00DC2421"/>
    <w:rsid w:val="00DC7E21"/>
    <w:rsid w:val="00DD7C53"/>
    <w:rsid w:val="00DE112C"/>
    <w:rsid w:val="00DF118A"/>
    <w:rsid w:val="00E002AE"/>
    <w:rsid w:val="00E21F1E"/>
    <w:rsid w:val="00E41BA2"/>
    <w:rsid w:val="00E46A15"/>
    <w:rsid w:val="00E51FEE"/>
    <w:rsid w:val="00E6746C"/>
    <w:rsid w:val="00E835E2"/>
    <w:rsid w:val="00E93A2F"/>
    <w:rsid w:val="00EA3A82"/>
    <w:rsid w:val="00EA4E33"/>
    <w:rsid w:val="00EC7191"/>
    <w:rsid w:val="00F14B89"/>
    <w:rsid w:val="00F15A1A"/>
    <w:rsid w:val="00F16238"/>
    <w:rsid w:val="00F1726D"/>
    <w:rsid w:val="00F62426"/>
    <w:rsid w:val="00F71AFA"/>
    <w:rsid w:val="00F87F6F"/>
    <w:rsid w:val="06D737C7"/>
    <w:rsid w:val="07D87F3C"/>
    <w:rsid w:val="082D656E"/>
    <w:rsid w:val="09892B94"/>
    <w:rsid w:val="0B903777"/>
    <w:rsid w:val="12732354"/>
    <w:rsid w:val="14AC4B94"/>
    <w:rsid w:val="16E04FD5"/>
    <w:rsid w:val="1E3223A5"/>
    <w:rsid w:val="1E725524"/>
    <w:rsid w:val="1EEE4054"/>
    <w:rsid w:val="224322A8"/>
    <w:rsid w:val="231B6C80"/>
    <w:rsid w:val="23DE2155"/>
    <w:rsid w:val="272B3153"/>
    <w:rsid w:val="292115D8"/>
    <w:rsid w:val="2DE26F8A"/>
    <w:rsid w:val="311652A5"/>
    <w:rsid w:val="33B44FAA"/>
    <w:rsid w:val="391455D4"/>
    <w:rsid w:val="3A151F4D"/>
    <w:rsid w:val="4971123A"/>
    <w:rsid w:val="4C540EA7"/>
    <w:rsid w:val="4EDE5E09"/>
    <w:rsid w:val="51930735"/>
    <w:rsid w:val="525839C6"/>
    <w:rsid w:val="52DF0396"/>
    <w:rsid w:val="53365121"/>
    <w:rsid w:val="57812E50"/>
    <w:rsid w:val="5A0F3E92"/>
    <w:rsid w:val="5B4B3112"/>
    <w:rsid w:val="5E5105EC"/>
    <w:rsid w:val="5EBD20F7"/>
    <w:rsid w:val="5EE71BD9"/>
    <w:rsid w:val="66027562"/>
    <w:rsid w:val="66890B53"/>
    <w:rsid w:val="6B896458"/>
    <w:rsid w:val="6D02561E"/>
    <w:rsid w:val="763B6C55"/>
    <w:rsid w:val="763C0482"/>
    <w:rsid w:val="788D63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70"/>
    <customShpInfo spid="_x0000_s1067"/>
    <customShpInfo spid="_x0000_s1072"/>
    <customShpInfo spid="_x0000_s1069"/>
    <customShpInfo spid="_x0000_s1073"/>
    <customShpInfo spid="_x0000_s1071"/>
    <customShpInfo spid="_x0000_s1068"/>
    <customShpInfo spid="_x0000_s106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DBDFA0-5BD4-4EFC-9206-CEA1AE1D0D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146</Words>
  <Characters>837</Characters>
  <Lines>6</Lines>
  <Paragraphs>1</Paragraphs>
  <TotalTime>8</TotalTime>
  <ScaleCrop>false</ScaleCrop>
  <LinksUpToDate>false</LinksUpToDate>
  <CharactersWithSpaces>982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2018-07-11T00:44:00Z</dcterms:created>
  <dc:creator>田元伟</dc:creator>
  <cp:lastModifiedBy>____________L</cp:lastModifiedBy>
  <cp:lastPrinted>2020-06-16T06:09:00Z</cp:lastPrinted>
  <dcterms:modified xsi:type="dcterms:W3CDTF">2023-10-27T03:01:46Z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BC83F38137124A679280DC124369962C_12</vt:lpwstr>
  </property>
</Properties>
</file>