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48"/>
          <w:szCs w:val="48"/>
        </w:rPr>
      </w:pPr>
      <w:r>
        <w:rPr>
          <w:rFonts w:hint="eastAsia" w:ascii="仿宋" w:hAnsi="仿宋" w:eastAsia="仿宋" w:cs="仿宋"/>
          <w:b/>
          <w:bCs/>
          <w:color w:val="auto"/>
          <w:sz w:val="48"/>
          <w:szCs w:val="48"/>
        </w:rPr>
        <w:t>商 品 房 预 售 方 案</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tabs>
          <w:tab w:val="left" w:pos="2490"/>
        </w:tabs>
        <w:kinsoku/>
        <w:wordWrap/>
        <w:overflowPunct/>
        <w:topLinePunct w:val="0"/>
        <w:bidi w:val="0"/>
        <w:adjustRightInd w:val="0"/>
        <w:snapToGrid w:val="0"/>
        <w:spacing w:line="560" w:lineRule="atLeast"/>
        <w:ind w:firstLine="1920" w:firstLineChars="600"/>
        <w:rPr>
          <w:rFonts w:hint="eastAsia" w:ascii="仿宋" w:hAnsi="仿宋" w:eastAsia="仿宋" w:cs="仿宋"/>
          <w:color w:val="auto"/>
          <w:sz w:val="32"/>
          <w:szCs w:val="32"/>
          <w:u w:val="single"/>
        </w:rPr>
      </w:pPr>
      <w:r>
        <w:rPr>
          <w:rFonts w:hint="eastAsia" w:ascii="仿宋" w:hAnsi="仿宋" w:eastAsia="仿宋" w:cs="仿宋"/>
          <w:color w:val="auto"/>
          <w:sz w:val="32"/>
          <w:szCs w:val="32"/>
        </w:rPr>
        <w:t>开发企业：</w:t>
      </w:r>
      <w:r>
        <w:rPr>
          <w:rFonts w:hint="eastAsia" w:ascii="仿宋" w:hAnsi="仿宋" w:eastAsia="仿宋" w:cs="仿宋"/>
          <w:color w:val="auto"/>
          <w:sz w:val="32"/>
          <w:szCs w:val="32"/>
          <w:u w:val="single"/>
        </w:rPr>
        <w:t xml:space="preserve"> 赤峰天通房地产开发有限公司</w:t>
      </w:r>
    </w:p>
    <w:p>
      <w:pPr>
        <w:keepNext w:val="0"/>
        <w:keepLines w:val="0"/>
        <w:pageBreakBefore w:val="0"/>
        <w:tabs>
          <w:tab w:val="left" w:pos="2490"/>
        </w:tabs>
        <w:kinsoku/>
        <w:wordWrap/>
        <w:overflowPunct/>
        <w:topLinePunct w:val="0"/>
        <w:bidi w:val="0"/>
        <w:adjustRightInd w:val="0"/>
        <w:snapToGrid w:val="0"/>
        <w:spacing w:line="560" w:lineRule="atLeast"/>
        <w:ind w:firstLine="1920" w:firstLineChars="600"/>
        <w:rPr>
          <w:rFonts w:hint="eastAsia" w:ascii="仿宋" w:hAnsi="仿宋" w:eastAsia="仿宋" w:cs="仿宋"/>
          <w:color w:val="auto"/>
          <w:sz w:val="32"/>
          <w:szCs w:val="32"/>
          <w:u w:val="single"/>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瑞和园</w:t>
      </w:r>
      <w:r>
        <w:rPr>
          <w:rFonts w:hint="eastAsia" w:ascii="仿宋" w:hAnsi="仿宋" w:eastAsia="仿宋" w:cs="仿宋"/>
          <w:color w:val="auto"/>
          <w:sz w:val="32"/>
          <w:szCs w:val="32"/>
          <w:u w:val="single"/>
        </w:rPr>
        <w:t xml:space="preserve">小区               </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44"/>
          <w:szCs w:val="44"/>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r>
        <w:rPr>
          <w:rFonts w:hint="eastAsia" w:ascii="仿宋" w:hAnsi="仿宋" w:eastAsia="仿宋" w:cs="仿宋"/>
          <w:b/>
          <w:bCs/>
          <w:color w:val="auto"/>
          <w:sz w:val="36"/>
          <w:szCs w:val="36"/>
        </w:rPr>
        <w:t xml:space="preserve">                                                                                                                                                                                                                                                                                </w:t>
      </w:r>
      <w:r>
        <w:rPr>
          <w:rFonts w:hint="eastAsia" w:ascii="仿宋" w:hAnsi="仿宋" w:eastAsia="仿宋" w:cs="仿宋"/>
          <w:b/>
          <w:bCs/>
          <w:color w:val="auto"/>
          <w:sz w:val="36"/>
          <w:szCs w:val="36"/>
          <w:lang w:eastAsia="zh-CN"/>
        </w:rPr>
        <w:t>瑞和园</w:t>
      </w:r>
      <w:r>
        <w:rPr>
          <w:rFonts w:hint="eastAsia" w:ascii="仿宋" w:hAnsi="仿宋" w:eastAsia="仿宋" w:cs="仿宋"/>
          <w:b/>
          <w:bCs/>
          <w:color w:val="auto"/>
          <w:sz w:val="36"/>
          <w:szCs w:val="36"/>
        </w:rPr>
        <w:t>小区项目预（销）售方案</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一、项目基本情况</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赤峰天通房地产开发有限公司</w:t>
      </w:r>
      <w:r>
        <w:rPr>
          <w:rFonts w:hint="eastAsia" w:ascii="仿宋" w:hAnsi="仿宋" w:eastAsia="仿宋" w:cs="仿宋"/>
          <w:color w:val="auto"/>
          <w:sz w:val="32"/>
          <w:szCs w:val="32"/>
        </w:rPr>
        <w:t>开发建设的</w:t>
      </w:r>
      <w:r>
        <w:rPr>
          <w:rFonts w:hint="eastAsia" w:ascii="仿宋" w:hAnsi="仿宋" w:eastAsia="仿宋" w:cs="仿宋"/>
          <w:color w:val="auto"/>
          <w:sz w:val="32"/>
          <w:szCs w:val="32"/>
          <w:lang w:eastAsia="zh-CN"/>
        </w:rPr>
        <w:t>瑞和园</w:t>
      </w:r>
      <w:r>
        <w:rPr>
          <w:rFonts w:hint="eastAsia" w:ascii="仿宋" w:hAnsi="仿宋" w:eastAsia="仿宋" w:cs="仿宋"/>
          <w:color w:val="auto"/>
          <w:sz w:val="32"/>
          <w:szCs w:val="32"/>
        </w:rPr>
        <w:t>小区</w:t>
      </w:r>
      <w:r>
        <w:rPr>
          <w:rFonts w:hint="eastAsia" w:ascii="仿宋" w:hAnsi="仿宋" w:eastAsia="仿宋" w:cs="仿宋"/>
          <w:color w:val="auto"/>
          <w:sz w:val="32"/>
          <w:szCs w:val="32"/>
          <w:lang w:val="en-US" w:eastAsia="zh-CN"/>
        </w:rPr>
        <w:t>该</w:t>
      </w:r>
      <w:r>
        <w:rPr>
          <w:rFonts w:hint="eastAsia" w:ascii="仿宋" w:hAnsi="仿宋" w:eastAsia="仿宋" w:cs="仿宋"/>
          <w:color w:val="auto"/>
          <w:sz w:val="32"/>
          <w:szCs w:val="32"/>
        </w:rPr>
        <w:t>项目位于松山区查干沐沦大街南、旺业路西、乐业路东、嘉兴街北</w:t>
      </w:r>
      <w:r>
        <w:rPr>
          <w:rFonts w:hint="eastAsia" w:ascii="仿宋" w:hAnsi="仿宋" w:eastAsia="仿宋" w:cs="仿宋"/>
          <w:color w:val="auto"/>
          <w:sz w:val="32"/>
          <w:szCs w:val="32"/>
          <w:lang w:val="en-US" w:eastAsia="zh-CN"/>
        </w:rPr>
        <w:t>瑞和园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建设用地面积</w:t>
      </w:r>
      <w:r>
        <w:rPr>
          <w:rFonts w:hint="eastAsia" w:ascii="仿宋" w:hAnsi="仿宋" w:eastAsia="仿宋" w:cs="仿宋"/>
          <w:color w:val="auto"/>
          <w:sz w:val="32"/>
          <w:szCs w:val="32"/>
          <w:lang w:val="en-US" w:eastAsia="zh-CN"/>
        </w:rPr>
        <w:t>51324.67㎡</w:t>
      </w:r>
      <w:r>
        <w:rPr>
          <w:rFonts w:hint="eastAsia" w:ascii="仿宋" w:hAnsi="仿宋" w:eastAsia="仿宋" w:cs="仿宋"/>
          <w:color w:val="auto"/>
          <w:sz w:val="32"/>
          <w:szCs w:val="32"/>
        </w:rPr>
        <w:t>。土地性质为国有，土地取得方式为出让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土地用途为城镇住宅用地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土地使用年限住宅用地为70年，从202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日至209</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日。本项目容积率为2.0，绿化率为35%，建筑密度为</w:t>
      </w:r>
      <w:r>
        <w:rPr>
          <w:rFonts w:hint="eastAsia" w:ascii="仿宋" w:hAnsi="仿宋" w:eastAsia="仿宋" w:cs="仿宋"/>
          <w:color w:val="auto"/>
          <w:sz w:val="32"/>
          <w:szCs w:val="32"/>
          <w:lang w:val="en-US" w:eastAsia="zh-CN"/>
        </w:rPr>
        <w:t>18.19</w:t>
      </w:r>
      <w:r>
        <w:rPr>
          <w:rFonts w:hint="eastAsia" w:ascii="仿宋" w:hAnsi="仿宋" w:eastAsia="仿宋" w:cs="仿宋"/>
          <w:color w:val="auto"/>
          <w:sz w:val="32"/>
          <w:szCs w:val="32"/>
        </w:rPr>
        <w:t>%,车位配比</w:t>
      </w:r>
      <w:r>
        <w:rPr>
          <w:rFonts w:hint="eastAsia" w:ascii="仿宋" w:hAnsi="仿宋" w:eastAsia="仿宋" w:cs="仿宋"/>
          <w:color w:val="auto"/>
          <w:sz w:val="32"/>
          <w:szCs w:val="32"/>
          <w:lang w:val="en-US" w:eastAsia="zh-CN"/>
        </w:rPr>
        <w:t>为地上总建筑面积的1/120㎡</w:t>
      </w:r>
      <w:r>
        <w:rPr>
          <w:rFonts w:hint="eastAsia" w:ascii="仿宋" w:hAnsi="仿宋" w:eastAsia="仿宋" w:cs="仿宋"/>
          <w:color w:val="auto"/>
          <w:sz w:val="32"/>
          <w:szCs w:val="32"/>
        </w:rPr>
        <w:t>。建筑结构类型为</w:t>
      </w:r>
      <w:r>
        <w:rPr>
          <w:rFonts w:hint="eastAsia" w:ascii="仿宋" w:hAnsi="仿宋" w:eastAsia="仿宋" w:cs="仿宋"/>
          <w:color w:val="auto"/>
          <w:sz w:val="32"/>
          <w:szCs w:val="32"/>
          <w:lang w:val="en-US" w:eastAsia="zh-CN"/>
        </w:rPr>
        <w:t>钢筋混凝土</w:t>
      </w:r>
      <w:r>
        <w:rPr>
          <w:rFonts w:hint="eastAsia" w:ascii="仿宋" w:hAnsi="仿宋" w:eastAsia="仿宋" w:cs="仿宋"/>
          <w:color w:val="auto"/>
          <w:sz w:val="32"/>
          <w:szCs w:val="32"/>
        </w:rPr>
        <w:t>。</w:t>
      </w:r>
    </w:p>
    <w:p>
      <w:pPr>
        <w:pStyle w:val="15"/>
        <w:keepNext w:val="0"/>
        <w:keepLines w:val="0"/>
        <w:pageBreakBefore w:val="0"/>
        <w:kinsoku/>
        <w:wordWrap/>
        <w:overflowPunct/>
        <w:topLinePunct w:val="0"/>
        <w:bidi w:val="0"/>
        <w:adjustRightInd w:val="0"/>
        <w:snapToGrid w:val="0"/>
        <w:spacing w:line="560" w:lineRule="atLeast"/>
        <w:ind w:left="630" w:firstLine="0"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二、建设进度安排及房屋交付时间</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开工日期：202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日；</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竣工日期：202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日；</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交付日期：预计于202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日之前交付使用。</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截止目前，该项目形象进度已完成</w:t>
      </w:r>
      <w:r>
        <w:rPr>
          <w:rFonts w:hint="eastAsia" w:ascii="仿宋" w:hAnsi="仿宋" w:eastAsia="仿宋" w:cs="仿宋"/>
          <w:color w:val="auto"/>
          <w:sz w:val="32"/>
          <w:szCs w:val="32"/>
          <w:u w:val="single"/>
        </w:rPr>
        <w:t>四层</w:t>
      </w:r>
      <w:r>
        <w:rPr>
          <w:rFonts w:hint="eastAsia" w:ascii="仿宋" w:hAnsi="仿宋" w:eastAsia="仿宋" w:cs="仿宋"/>
          <w:color w:val="auto"/>
          <w:sz w:val="32"/>
          <w:szCs w:val="32"/>
        </w:rPr>
        <w:t>封顶，投资额度已达到</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%以上。</w:t>
      </w:r>
    </w:p>
    <w:p>
      <w:pPr>
        <w:pStyle w:val="15"/>
        <w:keepNext w:val="0"/>
        <w:keepLines w:val="0"/>
        <w:pageBreakBefore w:val="0"/>
        <w:kinsoku/>
        <w:wordWrap/>
        <w:overflowPunct/>
        <w:topLinePunct w:val="0"/>
        <w:bidi w:val="0"/>
        <w:adjustRightInd w:val="0"/>
        <w:snapToGrid w:val="0"/>
        <w:spacing w:line="560" w:lineRule="atLeast"/>
        <w:ind w:left="630" w:firstLine="0"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三、商品房装饰、设备交付标准</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color w:val="auto"/>
          <w:sz w:val="32"/>
          <w:szCs w:val="32"/>
          <w:highlight w:val="magenta"/>
        </w:rPr>
      </w:pPr>
      <w:r>
        <w:rPr>
          <w:rFonts w:hint="eastAsia" w:ascii="仿宋" w:hAnsi="仿宋" w:eastAsia="仿宋" w:cs="仿宋"/>
          <w:b/>
          <w:bCs/>
          <w:color w:val="auto"/>
          <w:sz w:val="32"/>
          <w:szCs w:val="32"/>
        </w:rPr>
        <w:t>住宅交付标准</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入户门为</w:t>
      </w:r>
      <w:r>
        <w:rPr>
          <w:rFonts w:hint="eastAsia" w:ascii="仿宋" w:hAnsi="仿宋" w:eastAsia="仿宋" w:cs="仿宋"/>
          <w:color w:val="auto"/>
          <w:sz w:val="32"/>
          <w:szCs w:val="32"/>
          <w:highlight w:val="none"/>
          <w:u w:val="single"/>
        </w:rPr>
        <w:t xml:space="preserve">防盗门 </w:t>
      </w:r>
      <w:r>
        <w:rPr>
          <w:rFonts w:hint="eastAsia" w:ascii="仿宋" w:hAnsi="仿宋" w:eastAsia="仿宋" w:cs="仿宋"/>
          <w:color w:val="auto"/>
          <w:sz w:val="32"/>
          <w:szCs w:val="32"/>
          <w:highlight w:val="none"/>
        </w:rPr>
        <w:t>；窗为</w:t>
      </w:r>
      <w:r>
        <w:rPr>
          <w:rFonts w:hint="eastAsia" w:ascii="仿宋" w:hAnsi="仿宋" w:eastAsia="仿宋" w:cs="仿宋"/>
          <w:color w:val="auto"/>
          <w:sz w:val="32"/>
          <w:szCs w:val="32"/>
          <w:highlight w:val="none"/>
          <w:u w:val="single"/>
        </w:rPr>
        <w:t>断桥铝合金框料、中空玻璃</w:t>
      </w:r>
      <w:r>
        <w:rPr>
          <w:rFonts w:hint="eastAsia" w:ascii="仿宋" w:hAnsi="仿宋" w:eastAsia="仿宋" w:cs="仿宋"/>
          <w:color w:val="auto"/>
          <w:sz w:val="32"/>
          <w:szCs w:val="32"/>
          <w:highlight w:val="none"/>
        </w:rPr>
        <w:t>窗；屋内墙</w:t>
      </w:r>
      <w:r>
        <w:rPr>
          <w:rFonts w:hint="eastAsia" w:ascii="仿宋" w:hAnsi="仿宋" w:eastAsia="仿宋" w:cs="仿宋"/>
          <w:color w:val="auto"/>
          <w:sz w:val="32"/>
          <w:szCs w:val="32"/>
          <w:highlight w:val="none"/>
          <w:u w:val="single"/>
        </w:rPr>
        <w:t>混合砂浆墙面</w:t>
      </w:r>
      <w:r>
        <w:rPr>
          <w:rFonts w:hint="eastAsia" w:ascii="仿宋" w:hAnsi="仿宋" w:eastAsia="仿宋" w:cs="仿宋"/>
          <w:color w:val="auto"/>
          <w:sz w:val="32"/>
          <w:szCs w:val="32"/>
          <w:highlight w:val="none"/>
        </w:rPr>
        <w:t>；地面为</w:t>
      </w:r>
      <w:r>
        <w:rPr>
          <w:rFonts w:hint="eastAsia" w:ascii="仿宋" w:hAnsi="仿宋" w:eastAsia="仿宋" w:cs="仿宋"/>
          <w:color w:val="auto"/>
          <w:sz w:val="32"/>
          <w:szCs w:val="32"/>
          <w:highlight w:val="none"/>
          <w:u w:val="single"/>
        </w:rPr>
        <w:t>细石混凝土垫层地面</w:t>
      </w:r>
      <w:r>
        <w:rPr>
          <w:rFonts w:hint="eastAsia" w:ascii="仿宋" w:hAnsi="仿宋" w:eastAsia="仿宋" w:cs="仿宋"/>
          <w:color w:val="auto"/>
          <w:sz w:val="32"/>
          <w:szCs w:val="32"/>
          <w:highlight w:val="none"/>
        </w:rPr>
        <w:t>；厨房、卫生间内墙为</w:t>
      </w:r>
      <w:r>
        <w:rPr>
          <w:rFonts w:hint="eastAsia" w:ascii="仿宋" w:hAnsi="仿宋" w:eastAsia="仿宋" w:cs="仿宋"/>
          <w:color w:val="auto"/>
          <w:sz w:val="32"/>
          <w:szCs w:val="32"/>
          <w:highlight w:val="none"/>
          <w:u w:val="single"/>
        </w:rPr>
        <w:t>混合砂浆墙面</w:t>
      </w:r>
      <w:r>
        <w:rPr>
          <w:rFonts w:hint="eastAsia" w:ascii="仿宋" w:hAnsi="仿宋" w:eastAsia="仿宋" w:cs="仿宋"/>
          <w:color w:val="auto"/>
          <w:sz w:val="32"/>
          <w:szCs w:val="32"/>
          <w:highlight w:val="none"/>
        </w:rPr>
        <w:t>，地面为</w:t>
      </w:r>
      <w:r>
        <w:rPr>
          <w:rFonts w:hint="eastAsia" w:ascii="仿宋" w:hAnsi="仿宋" w:eastAsia="仿宋" w:cs="仿宋"/>
          <w:color w:val="auto"/>
          <w:sz w:val="32"/>
          <w:szCs w:val="32"/>
          <w:highlight w:val="none"/>
          <w:u w:val="single"/>
        </w:rPr>
        <w:t>细石混凝土垫层地面</w:t>
      </w:r>
      <w:r>
        <w:rPr>
          <w:rFonts w:hint="eastAsia" w:ascii="仿宋" w:hAnsi="仿宋" w:eastAsia="仿宋" w:cs="仿宋"/>
          <w:color w:val="auto"/>
          <w:sz w:val="32"/>
          <w:szCs w:val="32"/>
          <w:highlight w:val="none"/>
        </w:rPr>
        <w:t>；暖气为</w:t>
      </w:r>
      <w:r>
        <w:rPr>
          <w:rFonts w:hint="eastAsia" w:ascii="仿宋" w:hAnsi="仿宋" w:eastAsia="仿宋" w:cs="仿宋"/>
          <w:color w:val="auto"/>
          <w:sz w:val="32"/>
          <w:szCs w:val="32"/>
          <w:highlight w:val="none"/>
          <w:u w:val="single"/>
        </w:rPr>
        <w:t>地暖</w:t>
      </w:r>
      <w:r>
        <w:rPr>
          <w:rFonts w:hint="eastAsia" w:ascii="仿宋" w:hAnsi="仿宋" w:eastAsia="仿宋" w:cs="仿宋"/>
          <w:color w:val="auto"/>
          <w:sz w:val="32"/>
          <w:szCs w:val="32"/>
          <w:highlight w:val="none"/>
        </w:rPr>
        <w:t>；室内灯具为</w:t>
      </w:r>
      <w:r>
        <w:rPr>
          <w:rFonts w:hint="eastAsia" w:ascii="仿宋" w:hAnsi="仿宋" w:eastAsia="仿宋" w:cs="仿宋"/>
          <w:color w:val="auto"/>
          <w:sz w:val="32"/>
          <w:szCs w:val="32"/>
          <w:highlight w:val="none"/>
          <w:u w:val="single"/>
        </w:rPr>
        <w:t>白炽灯</w:t>
      </w:r>
      <w:r>
        <w:rPr>
          <w:rFonts w:hint="eastAsia" w:ascii="仿宋" w:hAnsi="仿宋" w:eastAsia="仿宋" w:cs="仿宋"/>
          <w:color w:val="auto"/>
          <w:sz w:val="32"/>
          <w:szCs w:val="32"/>
          <w:highlight w:val="none"/>
        </w:rPr>
        <w:t>；宽带</w:t>
      </w:r>
      <w:r>
        <w:rPr>
          <w:rFonts w:hint="eastAsia" w:ascii="仿宋" w:hAnsi="仿宋" w:eastAsia="仿宋" w:cs="仿宋"/>
          <w:color w:val="auto"/>
          <w:sz w:val="32"/>
          <w:szCs w:val="32"/>
          <w:highlight w:val="none"/>
          <w:u w:val="single"/>
        </w:rPr>
        <w:t>多媒体箱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有线电视</w:t>
      </w:r>
      <w:r>
        <w:rPr>
          <w:rFonts w:hint="eastAsia" w:ascii="仿宋" w:hAnsi="仿宋" w:eastAsia="仿宋" w:cs="仿宋"/>
          <w:color w:val="auto"/>
          <w:sz w:val="32"/>
          <w:szCs w:val="32"/>
          <w:highlight w:val="none"/>
          <w:u w:val="single"/>
        </w:rPr>
        <w:t>室内设接口</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（具体交付标准见附件1：</w:t>
      </w:r>
      <w:r>
        <w:rPr>
          <w:rFonts w:hint="eastAsia" w:ascii="仿宋" w:hAnsi="仿宋" w:eastAsia="仿宋" w:cs="仿宋"/>
          <w:b/>
          <w:bCs/>
          <w:color w:val="auto"/>
          <w:sz w:val="32"/>
          <w:szCs w:val="32"/>
          <w:lang w:eastAsia="zh-CN"/>
        </w:rPr>
        <w:t>瑞和园</w:t>
      </w:r>
      <w:r>
        <w:rPr>
          <w:rFonts w:hint="eastAsia" w:ascii="仿宋" w:hAnsi="仿宋" w:eastAsia="仿宋" w:cs="仿宋"/>
          <w:b/>
          <w:bCs/>
          <w:color w:val="auto"/>
          <w:sz w:val="32"/>
          <w:szCs w:val="32"/>
        </w:rPr>
        <w:t>小区商品房装饰、设备交付标准）。</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四、预售房屋套数、面积预测及分摊情况、公共部位和公共设施的具体范围（</w:t>
      </w:r>
      <w:r>
        <w:rPr>
          <w:rFonts w:hint="eastAsia" w:ascii="仿宋" w:hAnsi="仿宋" w:eastAsia="仿宋" w:cs="仿宋"/>
          <w:b/>
          <w:bCs/>
          <w:color w:val="auto"/>
          <w:sz w:val="32"/>
          <w:szCs w:val="32"/>
          <w:highlight w:val="none"/>
        </w:rPr>
        <w:t>数据来源于（2023）赤房测</w:t>
      </w:r>
      <w:r>
        <w:rPr>
          <w:rFonts w:hint="eastAsia" w:ascii="仿宋" w:hAnsi="仿宋" w:eastAsia="仿宋" w:cs="仿宋"/>
          <w:b/>
          <w:bCs/>
          <w:color w:val="auto"/>
          <w:sz w:val="32"/>
          <w:szCs w:val="32"/>
          <w:highlight w:val="none"/>
          <w:lang w:val="en-US" w:eastAsia="zh-CN"/>
        </w:rPr>
        <w:t>预</w:t>
      </w:r>
      <w:r>
        <w:rPr>
          <w:rFonts w:hint="eastAsia" w:ascii="仿宋" w:hAnsi="仿宋" w:eastAsia="仿宋" w:cs="仿宋"/>
          <w:b/>
          <w:bCs/>
          <w:color w:val="auto"/>
          <w:sz w:val="32"/>
          <w:szCs w:val="32"/>
          <w:highlight w:val="none"/>
        </w:rPr>
        <w:t>测字第006号测绘成果报</w:t>
      </w:r>
      <w:r>
        <w:rPr>
          <w:rFonts w:hint="eastAsia" w:ascii="仿宋" w:hAnsi="仿宋" w:eastAsia="仿宋" w:cs="仿宋"/>
          <w:b/>
          <w:bCs/>
          <w:color w:val="auto"/>
          <w:sz w:val="32"/>
          <w:szCs w:val="32"/>
        </w:rPr>
        <w:t>告书及建施图纸）</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（一）预售房屋套数、面积预测及分摊情况</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本项目共开发商品房</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幢，规划建筑面积为</w:t>
      </w:r>
      <w:r>
        <w:rPr>
          <w:rFonts w:hint="eastAsia" w:ascii="仿宋" w:hAnsi="仿宋" w:eastAsia="仿宋" w:cs="仿宋"/>
          <w:color w:val="auto"/>
          <w:sz w:val="32"/>
          <w:szCs w:val="32"/>
          <w:lang w:val="en-US" w:eastAsia="zh-CN"/>
        </w:rPr>
        <w:t>147387.71</w:t>
      </w:r>
      <w:r>
        <w:rPr>
          <w:rFonts w:hint="eastAsia" w:ascii="仿宋" w:hAnsi="仿宋" w:eastAsia="仿宋" w:cs="仿宋"/>
          <w:color w:val="auto"/>
          <w:sz w:val="32"/>
          <w:szCs w:val="32"/>
        </w:rPr>
        <w:t>平方米（其中含地下面积</w:t>
      </w:r>
      <w:r>
        <w:rPr>
          <w:rFonts w:hint="eastAsia" w:ascii="仿宋" w:hAnsi="仿宋" w:eastAsia="仿宋" w:cs="仿宋"/>
          <w:color w:val="auto"/>
          <w:sz w:val="32"/>
          <w:szCs w:val="32"/>
          <w:lang w:val="en-US" w:eastAsia="zh-CN"/>
        </w:rPr>
        <w:t>44738.37</w:t>
      </w:r>
      <w:r>
        <w:rPr>
          <w:rFonts w:hint="eastAsia" w:ascii="仿宋" w:hAnsi="仿宋" w:eastAsia="仿宋" w:cs="仿宋"/>
          <w:color w:val="auto"/>
          <w:sz w:val="32"/>
          <w:szCs w:val="32"/>
        </w:rPr>
        <w:t>平方米）。本次申请办理商品房预（销）售许可为</w:t>
      </w:r>
      <w:r>
        <w:rPr>
          <w:rFonts w:hint="eastAsia" w:ascii="仿宋" w:hAnsi="仿宋" w:eastAsia="仿宋" w:cs="仿宋"/>
          <w:color w:val="auto"/>
          <w:sz w:val="32"/>
          <w:szCs w:val="32"/>
          <w:lang w:val="en-US" w:eastAsia="zh-CN"/>
        </w:rPr>
        <w:t>1-12</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住宅</w:t>
      </w:r>
      <w:r>
        <w:rPr>
          <w:rFonts w:hint="eastAsia" w:ascii="仿宋" w:hAnsi="仿宋" w:eastAsia="仿宋" w:cs="仿宋"/>
          <w:color w:val="auto"/>
          <w:sz w:val="32"/>
          <w:szCs w:val="32"/>
        </w:rPr>
        <w:t>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G1-G5商业楼</w:t>
      </w:r>
      <w:r>
        <w:rPr>
          <w:rFonts w:hint="eastAsia" w:ascii="仿宋" w:hAnsi="仿宋" w:eastAsia="仿宋" w:cs="仿宋"/>
          <w:color w:val="auto"/>
          <w:sz w:val="32"/>
          <w:szCs w:val="32"/>
        </w:rPr>
        <w:t>及地下车库。房屋测绘暂测总建筑面积</w:t>
      </w:r>
      <w:r>
        <w:rPr>
          <w:rFonts w:hint="eastAsia" w:ascii="仿宋" w:hAnsi="仿宋" w:eastAsia="仿宋" w:cs="仿宋"/>
          <w:color w:val="auto"/>
          <w:sz w:val="32"/>
          <w:szCs w:val="32"/>
          <w:highlight w:val="none"/>
        </w:rPr>
        <w:t>为147304.81平</w:t>
      </w:r>
      <w:r>
        <w:rPr>
          <w:rFonts w:hint="eastAsia" w:ascii="仿宋" w:hAnsi="仿宋" w:eastAsia="仿宋" w:cs="仿宋"/>
          <w:color w:val="auto"/>
          <w:sz w:val="32"/>
          <w:szCs w:val="32"/>
        </w:rPr>
        <w:t>方米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总套数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1891</w:t>
      </w:r>
      <w:r>
        <w:rPr>
          <w:rFonts w:hint="eastAsia" w:ascii="仿宋" w:hAnsi="仿宋" w:eastAsia="仿宋" w:cs="仿宋"/>
          <w:color w:val="auto"/>
          <w:sz w:val="32"/>
          <w:szCs w:val="32"/>
        </w:rPr>
        <w:t>套。</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本次</w:t>
      </w:r>
      <w:r>
        <w:rPr>
          <w:rFonts w:hint="eastAsia" w:ascii="仿宋" w:hAnsi="仿宋" w:eastAsia="仿宋" w:cs="仿宋"/>
          <w:color w:val="auto"/>
          <w:sz w:val="32"/>
          <w:szCs w:val="32"/>
          <w:highlight w:val="none"/>
        </w:rPr>
        <w:t>申请预售总套数为</w:t>
      </w:r>
      <w:r>
        <w:rPr>
          <w:rFonts w:hint="eastAsia" w:ascii="仿宋" w:hAnsi="仿宋" w:eastAsia="仿宋" w:cs="仿宋"/>
          <w:color w:val="auto"/>
          <w:sz w:val="32"/>
          <w:szCs w:val="32"/>
          <w:highlight w:val="none"/>
          <w:lang w:val="en-US" w:eastAsia="zh-CN"/>
        </w:rPr>
        <w:t>1768</w:t>
      </w:r>
      <w:r>
        <w:rPr>
          <w:rFonts w:hint="eastAsia" w:ascii="仿宋" w:hAnsi="仿宋" w:eastAsia="仿宋" w:cs="仿宋"/>
          <w:color w:val="auto"/>
          <w:sz w:val="32"/>
          <w:szCs w:val="32"/>
          <w:highlight w:val="none"/>
        </w:rPr>
        <w:t>套，建筑面积为</w:t>
      </w:r>
      <w:r>
        <w:rPr>
          <w:rFonts w:hint="eastAsia" w:ascii="仿宋" w:hAnsi="仿宋" w:eastAsia="仿宋" w:cs="仿宋"/>
          <w:color w:val="auto"/>
          <w:kern w:val="0"/>
          <w:sz w:val="32"/>
          <w:szCs w:val="32"/>
          <w:highlight w:val="none"/>
          <w:lang w:val="en-US" w:eastAsia="zh-CN"/>
        </w:rPr>
        <w:t>127331.91</w:t>
      </w:r>
      <w:r>
        <w:rPr>
          <w:rFonts w:hint="eastAsia" w:ascii="仿宋" w:hAnsi="仿宋" w:eastAsia="仿宋" w:cs="仿宋"/>
          <w:color w:val="auto"/>
          <w:sz w:val="32"/>
          <w:szCs w:val="32"/>
          <w:highlight w:val="none"/>
        </w:rPr>
        <w:t>平方米（套内建筑面积为</w:t>
      </w:r>
      <w:r>
        <w:rPr>
          <w:rFonts w:hint="eastAsia" w:ascii="仿宋" w:hAnsi="仿宋" w:eastAsia="仿宋" w:cs="仿宋"/>
          <w:color w:val="auto"/>
          <w:kern w:val="0"/>
          <w:sz w:val="32"/>
          <w:szCs w:val="32"/>
          <w:highlight w:val="none"/>
          <w:lang w:val="en-US" w:eastAsia="zh-CN"/>
        </w:rPr>
        <w:t>86945.69</w:t>
      </w:r>
      <w:r>
        <w:rPr>
          <w:rFonts w:hint="eastAsia" w:ascii="仿宋" w:hAnsi="仿宋" w:eastAsia="仿宋" w:cs="仿宋"/>
          <w:color w:val="auto"/>
          <w:sz w:val="32"/>
          <w:szCs w:val="32"/>
          <w:highlight w:val="none"/>
        </w:rPr>
        <w:t>平方米，公摊总面积为：</w:t>
      </w:r>
      <w:r>
        <w:rPr>
          <w:rFonts w:hint="eastAsia" w:ascii="仿宋" w:hAnsi="仿宋" w:eastAsia="仿宋" w:cs="仿宋"/>
          <w:color w:val="auto"/>
          <w:kern w:val="0"/>
          <w:sz w:val="32"/>
          <w:szCs w:val="32"/>
          <w:highlight w:val="none"/>
          <w:lang w:val="en-US" w:eastAsia="zh-CN"/>
        </w:rPr>
        <w:t>40386.22</w:t>
      </w:r>
      <w:r>
        <w:rPr>
          <w:rFonts w:hint="eastAsia" w:ascii="仿宋" w:hAnsi="仿宋" w:eastAsia="仿宋" w:cs="仿宋"/>
          <w:color w:val="auto"/>
          <w:sz w:val="32"/>
          <w:szCs w:val="32"/>
          <w:highlight w:val="none"/>
        </w:rPr>
        <w:t>平方</w:t>
      </w:r>
      <w:r>
        <w:rPr>
          <w:rFonts w:hint="eastAsia" w:ascii="仿宋" w:hAnsi="仿宋" w:eastAsia="仿宋" w:cs="仿宋"/>
          <w:color w:val="auto"/>
          <w:sz w:val="32"/>
          <w:szCs w:val="32"/>
        </w:rPr>
        <w:t>米）。其中住宅</w:t>
      </w:r>
      <w:r>
        <w:rPr>
          <w:rFonts w:hint="eastAsia" w:ascii="仿宋" w:hAnsi="仿宋" w:eastAsia="仿宋" w:cs="仿宋"/>
          <w:color w:val="auto"/>
          <w:sz w:val="32"/>
          <w:szCs w:val="32"/>
          <w:lang w:val="en-US" w:eastAsia="zh-CN"/>
        </w:rPr>
        <w:t>972</w:t>
      </w:r>
      <w:r>
        <w:rPr>
          <w:rFonts w:hint="eastAsia" w:ascii="仿宋" w:hAnsi="仿宋" w:eastAsia="仿宋" w:cs="仿宋"/>
          <w:color w:val="auto"/>
          <w:sz w:val="32"/>
          <w:szCs w:val="32"/>
        </w:rPr>
        <w:t>套，建筑面积为</w:t>
      </w:r>
      <w:r>
        <w:rPr>
          <w:rFonts w:hint="eastAsia" w:ascii="仿宋" w:hAnsi="仿宋" w:eastAsia="仿宋" w:cs="仿宋"/>
          <w:color w:val="auto"/>
          <w:kern w:val="0"/>
          <w:sz w:val="32"/>
          <w:szCs w:val="32"/>
          <w:lang w:val="en-US" w:eastAsia="zh-CN"/>
        </w:rPr>
        <w:t>100647.27</w:t>
      </w:r>
      <w:r>
        <w:rPr>
          <w:rFonts w:hint="eastAsia" w:ascii="仿宋" w:hAnsi="仿宋" w:eastAsia="仿宋" w:cs="仿宋"/>
          <w:color w:val="auto"/>
          <w:sz w:val="32"/>
          <w:szCs w:val="32"/>
        </w:rPr>
        <w:t>平方米, 套内建筑面积为</w:t>
      </w:r>
      <w:r>
        <w:rPr>
          <w:rFonts w:hint="eastAsia" w:ascii="仿宋" w:hAnsi="仿宋" w:eastAsia="仿宋" w:cs="仿宋"/>
          <w:color w:val="auto"/>
          <w:sz w:val="32"/>
          <w:szCs w:val="32"/>
          <w:lang w:val="en-US" w:eastAsia="zh-CN"/>
        </w:rPr>
        <w:t>74588.03</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26059.24</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配套商业6</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343.86</w:t>
      </w:r>
      <w:r>
        <w:rPr>
          <w:rFonts w:hint="eastAsia" w:ascii="仿宋" w:hAnsi="仿宋" w:eastAsia="仿宋" w:cs="仿宋"/>
          <w:color w:val="auto"/>
          <w:sz w:val="32"/>
          <w:szCs w:val="32"/>
        </w:rPr>
        <w:t>平方米（套内建筑面积为</w:t>
      </w:r>
      <w:r>
        <w:rPr>
          <w:rFonts w:hint="eastAsia" w:ascii="仿宋" w:hAnsi="仿宋" w:eastAsia="仿宋" w:cs="仿宋"/>
          <w:color w:val="auto"/>
          <w:sz w:val="32"/>
          <w:szCs w:val="32"/>
          <w:lang w:val="en-US" w:eastAsia="zh-CN"/>
        </w:rPr>
        <w:t>317.71</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26.15</w:t>
      </w:r>
      <w:r>
        <w:rPr>
          <w:rFonts w:hint="eastAsia" w:ascii="仿宋" w:hAnsi="仿宋" w:eastAsia="仿宋" w:cs="仿宋"/>
          <w:color w:val="auto"/>
          <w:sz w:val="32"/>
          <w:szCs w:val="32"/>
        </w:rPr>
        <w:t>平方米）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车位</w:t>
      </w:r>
      <w:r>
        <w:rPr>
          <w:rFonts w:hint="eastAsia" w:ascii="仿宋" w:hAnsi="仿宋" w:eastAsia="仿宋" w:cs="仿宋"/>
          <w:color w:val="auto"/>
          <w:sz w:val="32"/>
          <w:szCs w:val="32"/>
          <w:lang w:val="en-US" w:eastAsia="zh-CN"/>
        </w:rPr>
        <w:t>597</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18759.82</w:t>
      </w:r>
      <w:r>
        <w:rPr>
          <w:rFonts w:hint="eastAsia" w:ascii="仿宋" w:hAnsi="仿宋" w:eastAsia="仿宋" w:cs="仿宋"/>
          <w:color w:val="auto"/>
          <w:sz w:val="32"/>
          <w:szCs w:val="32"/>
        </w:rPr>
        <w:t>平方米(套内建筑面积为</w:t>
      </w:r>
      <w:r>
        <w:rPr>
          <w:rFonts w:hint="eastAsia" w:ascii="仿宋" w:hAnsi="仿宋" w:eastAsia="仿宋" w:cs="仿宋"/>
          <w:color w:val="auto"/>
          <w:sz w:val="32"/>
          <w:szCs w:val="32"/>
          <w:lang w:val="en-US" w:eastAsia="zh-CN"/>
        </w:rPr>
        <w:t>7611.62</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11148.20</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仓库</w:t>
      </w:r>
      <w:r>
        <w:rPr>
          <w:rFonts w:hint="eastAsia" w:ascii="仿宋" w:hAnsi="仿宋" w:eastAsia="仿宋" w:cs="仿宋"/>
          <w:color w:val="auto"/>
          <w:sz w:val="32"/>
          <w:szCs w:val="32"/>
          <w:lang w:val="en-US" w:eastAsia="zh-CN"/>
        </w:rPr>
        <w:t>193</w:t>
      </w:r>
      <w:r>
        <w:rPr>
          <w:rFonts w:hint="eastAsia" w:ascii="仿宋" w:hAnsi="仿宋" w:eastAsia="仿宋" w:cs="仿宋"/>
          <w:color w:val="auto"/>
          <w:sz w:val="32"/>
          <w:szCs w:val="32"/>
        </w:rPr>
        <w:t>套，建筑面积为</w:t>
      </w:r>
      <w:r>
        <w:rPr>
          <w:rFonts w:hint="eastAsia" w:ascii="仿宋" w:hAnsi="仿宋" w:eastAsia="仿宋" w:cs="仿宋"/>
          <w:color w:val="auto"/>
          <w:sz w:val="32"/>
          <w:szCs w:val="32"/>
          <w:lang w:val="en-US" w:eastAsia="zh-CN"/>
        </w:rPr>
        <w:t>7580.96</w:t>
      </w:r>
      <w:r>
        <w:rPr>
          <w:rFonts w:hint="eastAsia" w:ascii="仿宋" w:hAnsi="仿宋" w:eastAsia="仿宋" w:cs="仿宋"/>
          <w:color w:val="auto"/>
          <w:sz w:val="32"/>
          <w:szCs w:val="32"/>
        </w:rPr>
        <w:t>平方米（套内建筑面积为</w:t>
      </w:r>
      <w:r>
        <w:rPr>
          <w:rFonts w:hint="eastAsia" w:ascii="仿宋" w:hAnsi="仿宋" w:eastAsia="仿宋" w:cs="仿宋"/>
          <w:color w:val="auto"/>
          <w:sz w:val="32"/>
          <w:szCs w:val="32"/>
          <w:lang w:val="en-US" w:eastAsia="zh-CN"/>
        </w:rPr>
        <w:t>4428.33</w:t>
      </w:r>
      <w:r>
        <w:rPr>
          <w:rFonts w:hint="eastAsia" w:ascii="仿宋" w:hAnsi="仿宋" w:eastAsia="仿宋" w:cs="仿宋"/>
          <w:color w:val="auto"/>
          <w:sz w:val="32"/>
          <w:szCs w:val="32"/>
        </w:rPr>
        <w:t>平方米，公摊总面积为</w:t>
      </w:r>
      <w:r>
        <w:rPr>
          <w:rFonts w:hint="eastAsia" w:ascii="仿宋" w:hAnsi="仿宋" w:eastAsia="仿宋" w:cs="仿宋"/>
          <w:color w:val="auto"/>
          <w:sz w:val="32"/>
          <w:szCs w:val="32"/>
          <w:lang w:val="en-US" w:eastAsia="zh-CN"/>
        </w:rPr>
        <w:t>3152.63</w:t>
      </w:r>
      <w:r>
        <w:rPr>
          <w:rFonts w:hint="eastAsia" w:ascii="仿宋" w:hAnsi="仿宋" w:eastAsia="仿宋" w:cs="仿宋"/>
          <w:color w:val="auto"/>
          <w:sz w:val="32"/>
          <w:szCs w:val="32"/>
        </w:rPr>
        <w:t>平方米）</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24"/>
          <w:szCs w:val="24"/>
        </w:rPr>
      </w:pPr>
      <w:r>
        <w:rPr>
          <w:rFonts w:hint="eastAsia" w:ascii="仿宋" w:hAnsi="仿宋" w:eastAsia="仿宋" w:cs="仿宋"/>
          <w:color w:val="auto"/>
          <w:sz w:val="32"/>
          <w:szCs w:val="32"/>
        </w:rPr>
        <w:t>具体数据见下表：</w:t>
      </w:r>
    </w:p>
    <w:p>
      <w:pPr>
        <w:keepNext w:val="0"/>
        <w:keepLines w:val="0"/>
        <w:pageBreakBefore w:val="0"/>
        <w:kinsoku/>
        <w:wordWrap/>
        <w:overflowPunct/>
        <w:topLinePunct w:val="0"/>
        <w:bidi w:val="0"/>
        <w:adjustRightInd w:val="0"/>
        <w:snapToGrid w:val="0"/>
        <w:spacing w:line="560" w:lineRule="atLeast"/>
        <w:ind w:firstLine="3534" w:firstLineChars="11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拟销售住宅面积统计表</w:t>
      </w:r>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楼号</w:t>
            </w:r>
          </w:p>
        </w:tc>
        <w:tc>
          <w:tcPr>
            <w:tcW w:w="2096"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建筑面积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962"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套内面积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99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公摊面积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667" w:type="dxa"/>
            <w:vAlign w:val="center"/>
          </w:tcPr>
          <w:p>
            <w:pPr>
              <w:keepNext w:val="0"/>
              <w:keepLines w:val="0"/>
              <w:pageBreakBefore w:val="0"/>
              <w:widowControl/>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9435.85</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6754.28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2681.57</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9474.78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6817.68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2657.1</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7881.77</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6088.4</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1793.37</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9474.78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6817.68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2657.1</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9474.78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6817.68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2657.1</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6947.5</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5330.76</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1616.74</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6902.2</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5322.42</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1579.78</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6947.5</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5330.76</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1616.74</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7737.04</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5930.28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1806.76</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7421.51</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5742.73</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1678.78</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9474.78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6817.68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2657.1</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9474.78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6817.68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2657.1</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100647.27</w:t>
            </w:r>
            <w:r>
              <w:rPr>
                <w:rFonts w:hint="eastAsia" w:ascii="仿宋" w:hAnsi="仿宋" w:eastAsia="仿宋" w:cs="仿宋"/>
                <w:color w:val="auto"/>
                <w:kern w:val="2"/>
                <w:sz w:val="28"/>
                <w:szCs w:val="28"/>
                <w:lang w:eastAsia="zh-CN" w:bidi="ar-SA"/>
              </w:rPr>
              <w:fldChar w:fldCharType="end"/>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74588.03</w:t>
            </w:r>
            <w:r>
              <w:rPr>
                <w:rFonts w:hint="eastAsia" w:ascii="仿宋" w:hAnsi="仿宋" w:eastAsia="仿宋" w:cs="仿宋"/>
                <w:color w:val="auto"/>
                <w:kern w:val="2"/>
                <w:sz w:val="28"/>
                <w:szCs w:val="28"/>
                <w:lang w:eastAsia="zh-CN" w:bidi="ar-SA"/>
              </w:rPr>
              <w:fldChar w:fldCharType="end"/>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26059.24</w:t>
            </w:r>
            <w:r>
              <w:rPr>
                <w:rFonts w:hint="eastAsia" w:ascii="仿宋" w:hAnsi="仿宋" w:eastAsia="仿宋" w:cs="仿宋"/>
                <w:color w:val="auto"/>
                <w:kern w:val="2"/>
                <w:sz w:val="28"/>
                <w:szCs w:val="28"/>
                <w:lang w:eastAsia="zh-CN" w:bidi="ar-SA"/>
              </w:rPr>
              <w:fldChar w:fldCharType="end"/>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972</w:t>
            </w:r>
            <w:r>
              <w:rPr>
                <w:rFonts w:hint="eastAsia" w:ascii="仿宋" w:hAnsi="仿宋" w:eastAsia="仿宋" w:cs="仿宋"/>
                <w:color w:val="auto"/>
                <w:kern w:val="2"/>
                <w:sz w:val="28"/>
                <w:szCs w:val="28"/>
                <w:lang w:eastAsia="zh-CN" w:bidi="ar-SA"/>
              </w:rPr>
              <w:fldChar w:fldCharType="end"/>
            </w:r>
          </w:p>
        </w:tc>
      </w:tr>
    </w:tbl>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val="en-US" w:eastAsia="zh-CN"/>
        </w:rPr>
        <w:t>商业</w:t>
      </w:r>
      <w:r>
        <w:rPr>
          <w:rFonts w:hint="eastAsia" w:ascii="仿宋" w:hAnsi="仿宋" w:eastAsia="仿宋" w:cs="仿宋"/>
          <w:b/>
          <w:bCs/>
          <w:color w:val="auto"/>
          <w:sz w:val="32"/>
          <w:szCs w:val="32"/>
        </w:rPr>
        <w:t>面积统计表</w:t>
      </w:r>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楼号</w:t>
            </w:r>
          </w:p>
        </w:tc>
        <w:tc>
          <w:tcPr>
            <w:tcW w:w="2096"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建筑面积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962"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套内面积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99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公摊面积</w:t>
            </w: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单位：M</w:t>
            </w:r>
            <w:r>
              <w:rPr>
                <w:rFonts w:hint="eastAsia" w:ascii="仿宋" w:hAnsi="仿宋" w:eastAsia="仿宋" w:cs="仿宋"/>
                <w:color w:val="auto"/>
                <w:kern w:val="0"/>
                <w:sz w:val="28"/>
                <w:szCs w:val="28"/>
                <w:vertAlign w:val="superscript"/>
              </w:rPr>
              <w:t>2</w:t>
            </w:r>
          </w:p>
        </w:tc>
        <w:tc>
          <w:tcPr>
            <w:tcW w:w="1667" w:type="dxa"/>
            <w:vAlign w:val="center"/>
          </w:tcPr>
          <w:p>
            <w:pPr>
              <w:keepNext w:val="0"/>
              <w:keepLines w:val="0"/>
              <w:pageBreakBefore w:val="0"/>
              <w:widowControl/>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G1</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43.08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40.00</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3.08</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G2</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122.22</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111.58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10.64</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G3</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19.21</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18.07</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1.14</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G4</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159.35</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148.06</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11.29</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343.86</w:t>
            </w:r>
            <w:r>
              <w:rPr>
                <w:rFonts w:hint="eastAsia" w:ascii="仿宋" w:hAnsi="仿宋" w:eastAsia="仿宋" w:cs="仿宋"/>
                <w:color w:val="auto"/>
                <w:kern w:val="2"/>
                <w:sz w:val="28"/>
                <w:szCs w:val="28"/>
                <w:lang w:eastAsia="zh-CN" w:bidi="ar-SA"/>
              </w:rPr>
              <w:fldChar w:fldCharType="end"/>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317.71</w:t>
            </w:r>
            <w:r>
              <w:rPr>
                <w:rFonts w:hint="eastAsia" w:ascii="仿宋" w:hAnsi="仿宋" w:eastAsia="仿宋" w:cs="仿宋"/>
                <w:color w:val="auto"/>
                <w:kern w:val="2"/>
                <w:sz w:val="28"/>
                <w:szCs w:val="28"/>
                <w:lang w:eastAsia="zh-CN" w:bidi="ar-SA"/>
              </w:rPr>
              <w:fldChar w:fldCharType="end"/>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26.15</w:t>
            </w:r>
            <w:r>
              <w:rPr>
                <w:rFonts w:hint="eastAsia" w:ascii="仿宋" w:hAnsi="仿宋" w:eastAsia="仿宋" w:cs="仿宋"/>
                <w:color w:val="auto"/>
                <w:kern w:val="2"/>
                <w:sz w:val="28"/>
                <w:szCs w:val="28"/>
                <w:lang w:eastAsia="zh-CN" w:bidi="ar-SA"/>
              </w:rPr>
              <w:fldChar w:fldCharType="end"/>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fldChar w:fldCharType="begin"/>
            </w:r>
            <w:r>
              <w:rPr>
                <w:rFonts w:hint="eastAsia" w:ascii="仿宋" w:hAnsi="仿宋" w:eastAsia="仿宋" w:cs="仿宋"/>
                <w:color w:val="auto"/>
                <w:kern w:val="2"/>
                <w:sz w:val="28"/>
                <w:szCs w:val="28"/>
                <w:lang w:eastAsia="zh-CN" w:bidi="ar-SA"/>
              </w:rPr>
              <w:instrText xml:space="preserve"> =SUM(ABOVE) \* MERGEFORMAT </w:instrText>
            </w:r>
            <w:r>
              <w:rPr>
                <w:rFonts w:hint="eastAsia" w:ascii="仿宋" w:hAnsi="仿宋" w:eastAsia="仿宋" w:cs="仿宋"/>
                <w:color w:val="auto"/>
                <w:kern w:val="2"/>
                <w:sz w:val="28"/>
                <w:szCs w:val="28"/>
                <w:lang w:eastAsia="zh-CN" w:bidi="ar-SA"/>
              </w:rPr>
              <w:fldChar w:fldCharType="separate"/>
            </w:r>
            <w:r>
              <w:rPr>
                <w:rFonts w:hint="eastAsia" w:ascii="仿宋" w:hAnsi="仿宋" w:eastAsia="仿宋" w:cs="仿宋"/>
                <w:color w:val="auto"/>
                <w:kern w:val="2"/>
                <w:sz w:val="28"/>
                <w:szCs w:val="28"/>
                <w:lang w:eastAsia="zh-CN" w:bidi="ar-SA"/>
              </w:rPr>
              <w:t>6</w:t>
            </w:r>
            <w:r>
              <w:rPr>
                <w:rFonts w:hint="eastAsia" w:ascii="仿宋" w:hAnsi="仿宋" w:eastAsia="仿宋" w:cs="仿宋"/>
                <w:color w:val="auto"/>
                <w:kern w:val="2"/>
                <w:sz w:val="28"/>
                <w:szCs w:val="28"/>
                <w:lang w:eastAsia="zh-CN" w:bidi="ar-SA"/>
              </w:rPr>
              <w:fldChar w:fldCharType="end"/>
            </w:r>
          </w:p>
        </w:tc>
      </w:tr>
    </w:tbl>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2"/>
          <w:szCs w:val="32"/>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2"/>
          <w:szCs w:val="32"/>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2"/>
          <w:szCs w:val="32"/>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2"/>
          <w:szCs w:val="32"/>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bCs/>
          <w:color w:val="auto"/>
          <w:sz w:val="32"/>
          <w:szCs w:val="32"/>
        </w:rPr>
      </w:pPr>
    </w:p>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val="en-US" w:eastAsia="zh-CN"/>
        </w:rPr>
        <w:t>地下车位</w:t>
      </w:r>
      <w:r>
        <w:rPr>
          <w:rFonts w:hint="eastAsia" w:ascii="仿宋" w:hAnsi="仿宋" w:eastAsia="仿宋" w:cs="仿宋"/>
          <w:b/>
          <w:bCs/>
          <w:color w:val="auto"/>
          <w:sz w:val="32"/>
          <w:szCs w:val="32"/>
        </w:rPr>
        <w:t>面积统计表</w:t>
      </w:r>
    </w:p>
    <w:tbl>
      <w:tblPr>
        <w:tblStyle w:val="8"/>
        <w:tblW w:w="9067" w:type="dxa"/>
        <w:jc w:val="center"/>
        <w:tblLayout w:type="fixed"/>
        <w:tblCellMar>
          <w:top w:w="0" w:type="dxa"/>
          <w:left w:w="108" w:type="dxa"/>
          <w:bottom w:w="0" w:type="dxa"/>
          <w:right w:w="108" w:type="dxa"/>
        </w:tblCellMar>
      </w:tblPr>
      <w:tblGrid>
        <w:gridCol w:w="1430"/>
        <w:gridCol w:w="1087"/>
        <w:gridCol w:w="1850"/>
        <w:gridCol w:w="1675"/>
        <w:gridCol w:w="1688"/>
        <w:gridCol w:w="1337"/>
      </w:tblGrid>
      <w:tr>
        <w:tblPrEx>
          <w:tblCellMar>
            <w:top w:w="0" w:type="dxa"/>
            <w:left w:w="108" w:type="dxa"/>
            <w:bottom w:w="0" w:type="dxa"/>
            <w:right w:w="108" w:type="dxa"/>
          </w:tblCellMar>
        </w:tblPrEx>
        <w:trPr>
          <w:cantSplit/>
          <w:trHeight w:val="567" w:hRule="atLeast"/>
          <w:jc w:val="center"/>
        </w:trPr>
        <w:tc>
          <w:tcPr>
            <w:tcW w:w="143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楼号</w:t>
            </w:r>
          </w:p>
        </w:tc>
        <w:tc>
          <w:tcPr>
            <w:tcW w:w="1087"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用途</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建筑面积</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套内面积</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公摊面积</w:t>
            </w:r>
          </w:p>
        </w:tc>
        <w:tc>
          <w:tcPr>
            <w:tcW w:w="1337"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套数</w:t>
            </w:r>
          </w:p>
        </w:tc>
      </w:tr>
      <w:tr>
        <w:tblPrEx>
          <w:tblCellMar>
            <w:top w:w="0" w:type="dxa"/>
            <w:left w:w="108" w:type="dxa"/>
            <w:bottom w:w="0" w:type="dxa"/>
            <w:right w:w="108" w:type="dxa"/>
          </w:tblCellMar>
        </w:tblPrEx>
        <w:trPr>
          <w:cantSplit/>
          <w:trHeight w:val="567" w:hRule="atLeast"/>
          <w:jc w:val="center"/>
        </w:trPr>
        <w:tc>
          <w:tcPr>
            <w:tcW w:w="1430" w:type="dxa"/>
            <w:vMerge w:val="continue"/>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c>
          <w:tcPr>
            <w:tcW w:w="1087"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337" w:type="dxa"/>
            <w:vMerge w:val="continue"/>
            <w:tcBorders>
              <w:top w:val="single" w:color="auto" w:sz="8"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r>
      <w:tr>
        <w:tblPrEx>
          <w:tblCellMar>
            <w:top w:w="0" w:type="dxa"/>
            <w:left w:w="108" w:type="dxa"/>
            <w:bottom w:w="0" w:type="dxa"/>
            <w:right w:w="108" w:type="dxa"/>
          </w:tblCellMar>
        </w:tblPrEx>
        <w:trPr>
          <w:cantSplit/>
          <w:trHeight w:val="567" w:hRule="atLeast"/>
          <w:jc w:val="center"/>
        </w:trPr>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地下车库</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车位</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18759.82</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7611.62</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11148.20</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597</w:t>
            </w:r>
          </w:p>
        </w:tc>
      </w:tr>
    </w:tbl>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val="en-US" w:eastAsia="zh-CN"/>
        </w:rPr>
        <w:t>地下仓库</w:t>
      </w:r>
      <w:r>
        <w:rPr>
          <w:rFonts w:hint="eastAsia" w:ascii="仿宋" w:hAnsi="仿宋" w:eastAsia="仿宋" w:cs="仿宋"/>
          <w:b/>
          <w:bCs/>
          <w:color w:val="auto"/>
          <w:sz w:val="32"/>
          <w:szCs w:val="32"/>
        </w:rPr>
        <w:t>面积统计表</w:t>
      </w:r>
    </w:p>
    <w:tbl>
      <w:tblPr>
        <w:tblStyle w:val="8"/>
        <w:tblW w:w="9135" w:type="dxa"/>
        <w:jc w:val="center"/>
        <w:tblLayout w:type="fixed"/>
        <w:tblCellMar>
          <w:top w:w="0" w:type="dxa"/>
          <w:left w:w="108" w:type="dxa"/>
          <w:bottom w:w="0" w:type="dxa"/>
          <w:right w:w="108" w:type="dxa"/>
        </w:tblCellMar>
      </w:tblPr>
      <w:tblGrid>
        <w:gridCol w:w="1498"/>
        <w:gridCol w:w="1087"/>
        <w:gridCol w:w="1850"/>
        <w:gridCol w:w="1675"/>
        <w:gridCol w:w="1688"/>
        <w:gridCol w:w="1337"/>
      </w:tblGrid>
      <w:tr>
        <w:tblPrEx>
          <w:tblCellMar>
            <w:top w:w="0" w:type="dxa"/>
            <w:left w:w="108" w:type="dxa"/>
            <w:bottom w:w="0" w:type="dxa"/>
            <w:right w:w="108" w:type="dxa"/>
          </w:tblCellMar>
        </w:tblPrEx>
        <w:trPr>
          <w:cantSplit/>
          <w:trHeight w:val="567" w:hRule="atLeast"/>
          <w:jc w:val="center"/>
        </w:trPr>
        <w:tc>
          <w:tcPr>
            <w:tcW w:w="149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楼号</w:t>
            </w:r>
          </w:p>
        </w:tc>
        <w:tc>
          <w:tcPr>
            <w:tcW w:w="1087"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用途</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建筑面积</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套内面积</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公摊面积</w:t>
            </w:r>
          </w:p>
        </w:tc>
        <w:tc>
          <w:tcPr>
            <w:tcW w:w="1337"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套数</w:t>
            </w:r>
          </w:p>
        </w:tc>
      </w:tr>
      <w:tr>
        <w:tblPrEx>
          <w:tblCellMar>
            <w:top w:w="0" w:type="dxa"/>
            <w:left w:w="108" w:type="dxa"/>
            <w:bottom w:w="0" w:type="dxa"/>
            <w:right w:w="108" w:type="dxa"/>
          </w:tblCellMar>
        </w:tblPrEx>
        <w:trPr>
          <w:cantSplit/>
          <w:trHeight w:val="567" w:hRule="atLeast"/>
          <w:jc w:val="center"/>
        </w:trPr>
        <w:tc>
          <w:tcPr>
            <w:tcW w:w="1498" w:type="dxa"/>
            <w:vMerge w:val="continue"/>
            <w:tcBorders>
              <w:top w:val="single" w:color="auto" w:sz="8"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c>
          <w:tcPr>
            <w:tcW w:w="1087"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1337" w:type="dxa"/>
            <w:vMerge w:val="continue"/>
            <w:tcBorders>
              <w:top w:val="single" w:color="auto" w:sz="8"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8"/>
                <w:szCs w:val="28"/>
              </w:rPr>
            </w:pPr>
          </w:p>
        </w:tc>
      </w:tr>
      <w:tr>
        <w:tblPrEx>
          <w:tblCellMar>
            <w:top w:w="0" w:type="dxa"/>
            <w:left w:w="108" w:type="dxa"/>
            <w:bottom w:w="0" w:type="dxa"/>
            <w:right w:w="108" w:type="dxa"/>
          </w:tblCellMar>
        </w:tblPrEx>
        <w:trPr>
          <w:cantSplit/>
          <w:trHeight w:val="567" w:hRule="atLeast"/>
          <w:jc w:val="center"/>
        </w:trPr>
        <w:tc>
          <w:tcPr>
            <w:tcW w:w="1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地下车库</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仓库</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7580.96</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4428.33</w:t>
            </w:r>
          </w:p>
        </w:tc>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3152.63</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193</w:t>
            </w:r>
          </w:p>
        </w:tc>
      </w:tr>
    </w:tbl>
    <w:p>
      <w:pPr>
        <w:keepNext w:val="0"/>
        <w:keepLines w:val="0"/>
        <w:pageBreakBefore w:val="0"/>
        <w:widowControl w:val="0"/>
        <w:kinsoku/>
        <w:wordWrap/>
        <w:overflowPunct/>
        <w:topLinePunct w:val="0"/>
        <w:autoSpaceDE/>
        <w:autoSpaceDN/>
        <w:bidi w:val="0"/>
        <w:adjustRightInd w:val="0"/>
        <w:snapToGrid w:val="0"/>
        <w:spacing w:line="560" w:lineRule="atLeast"/>
        <w:ind w:firstLine="321" w:firstLineChars="1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（二）公共部位和公共设施的具体范围</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1.无偿提供的物业用房、社区办公和活动用房</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该项目实配物业用房</w:t>
      </w:r>
      <w:r>
        <w:rPr>
          <w:rFonts w:hint="eastAsia" w:ascii="仿宋" w:hAnsi="仿宋" w:eastAsia="仿宋" w:cs="仿宋"/>
          <w:color w:val="auto"/>
          <w:sz w:val="32"/>
          <w:szCs w:val="32"/>
          <w:lang w:val="en-US" w:eastAsia="zh-CN"/>
        </w:rPr>
        <w:t>1套，</w:t>
      </w:r>
      <w:r>
        <w:rPr>
          <w:rFonts w:hint="eastAsia" w:ascii="仿宋" w:hAnsi="仿宋" w:eastAsia="仿宋" w:cs="仿宋"/>
          <w:color w:val="auto"/>
          <w:sz w:val="32"/>
          <w:szCs w:val="32"/>
        </w:rPr>
        <w:t>位于</w:t>
      </w:r>
      <w:r>
        <w:rPr>
          <w:rFonts w:hint="eastAsia" w:ascii="仿宋" w:hAnsi="仿宋" w:eastAsia="仿宋" w:cs="仿宋"/>
          <w:color w:val="auto"/>
          <w:sz w:val="32"/>
          <w:szCs w:val="32"/>
          <w:lang w:val="en-US" w:eastAsia="zh-CN"/>
        </w:rPr>
        <w:t>G3-1-102,建筑面积446.97</w:t>
      </w:r>
      <w:r>
        <w:rPr>
          <w:rFonts w:hint="eastAsia" w:ascii="仿宋" w:hAnsi="仿宋" w:eastAsia="仿宋" w:cs="仿宋"/>
          <w:color w:val="auto"/>
          <w:sz w:val="32"/>
          <w:szCs w:val="32"/>
        </w:rPr>
        <w:t>平方米</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该项目实配社区办公和活动用房共</w:t>
      </w:r>
      <w:r>
        <w:rPr>
          <w:rFonts w:hint="eastAsia" w:ascii="仿宋" w:hAnsi="仿宋" w:eastAsia="仿宋" w:cs="仿宋"/>
          <w:color w:val="auto"/>
          <w:sz w:val="32"/>
          <w:szCs w:val="32"/>
          <w:lang w:val="en-US" w:eastAsia="zh-CN"/>
        </w:rPr>
        <w:t>2套，建筑面积509.24</w:t>
      </w:r>
      <w:r>
        <w:rPr>
          <w:rFonts w:hint="eastAsia" w:ascii="仿宋" w:hAnsi="仿宋" w:eastAsia="仿宋" w:cs="仿宋"/>
          <w:color w:val="auto"/>
          <w:sz w:val="32"/>
          <w:szCs w:val="32"/>
        </w:rPr>
        <w:t>平方米，分别位于</w:t>
      </w:r>
      <w:r>
        <w:rPr>
          <w:rFonts w:hint="eastAsia" w:ascii="仿宋" w:hAnsi="仿宋" w:eastAsia="仿宋" w:cs="仿宋"/>
          <w:color w:val="auto"/>
          <w:sz w:val="32"/>
          <w:szCs w:val="32"/>
          <w:lang w:val="en-US" w:eastAsia="zh-CN"/>
        </w:rPr>
        <w:t>G1-1-201,建筑面积399.59</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G2-</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102,建筑面积109.65</w:t>
      </w:r>
      <w:r>
        <w:rPr>
          <w:rFonts w:hint="eastAsia" w:ascii="仿宋" w:hAnsi="仿宋" w:eastAsia="仿宋" w:cs="仿宋"/>
          <w:color w:val="auto"/>
          <w:sz w:val="32"/>
          <w:szCs w:val="32"/>
        </w:rPr>
        <w:t>平方米；业主委员会议事用房</w:t>
      </w:r>
      <w:r>
        <w:rPr>
          <w:rFonts w:hint="eastAsia" w:ascii="仿宋" w:hAnsi="仿宋" w:eastAsia="仿宋" w:cs="仿宋"/>
          <w:color w:val="auto"/>
          <w:sz w:val="32"/>
          <w:szCs w:val="32"/>
          <w:lang w:val="en-US" w:eastAsia="zh-CN"/>
        </w:rPr>
        <w:t>1套，</w:t>
      </w:r>
      <w:r>
        <w:rPr>
          <w:rFonts w:hint="eastAsia" w:ascii="仿宋" w:hAnsi="仿宋" w:eastAsia="仿宋" w:cs="仿宋"/>
          <w:color w:val="auto"/>
          <w:sz w:val="32"/>
          <w:szCs w:val="32"/>
        </w:rPr>
        <w:t>位于</w:t>
      </w:r>
      <w:r>
        <w:rPr>
          <w:rFonts w:hint="eastAsia" w:ascii="仿宋" w:hAnsi="仿宋" w:eastAsia="仿宋" w:cs="仿宋"/>
          <w:color w:val="auto"/>
          <w:sz w:val="32"/>
          <w:szCs w:val="32"/>
          <w:lang w:val="en-US" w:eastAsia="zh-CN"/>
        </w:rPr>
        <w:t>G3-</w:t>
      </w:r>
      <w:r>
        <w:rPr>
          <w:rFonts w:hint="eastAsia" w:ascii="仿宋" w:hAnsi="仿宋" w:eastAsia="仿宋" w:cs="仿宋"/>
          <w:color w:val="auto"/>
          <w:sz w:val="32"/>
          <w:szCs w:val="32"/>
        </w:rPr>
        <w:t>1-10</w:t>
      </w:r>
      <w:r>
        <w:rPr>
          <w:rFonts w:hint="eastAsia" w:ascii="仿宋" w:hAnsi="仿宋" w:eastAsia="仿宋" w:cs="仿宋"/>
          <w:color w:val="auto"/>
          <w:sz w:val="32"/>
          <w:szCs w:val="32"/>
          <w:lang w:val="en-US" w:eastAsia="zh-CN"/>
        </w:rPr>
        <w:t>3,建筑面积31.78</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养老服务设施1套，位于G3-1-101，建筑面积198.29平方米</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消防控制室1套，位于G1-1-102，建筑面积52.70平方米</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换热站值班室1套，位于G5-1-101，建筑面积40.93平方米。</w:t>
      </w:r>
    </w:p>
    <w:p>
      <w:pPr>
        <w:keepNext w:val="0"/>
        <w:keepLines w:val="0"/>
        <w:pageBreakBefore w:val="0"/>
        <w:numPr>
          <w:ilvl w:val="0"/>
          <w:numId w:val="0"/>
        </w:numPr>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其他非卖房屋共1</w:t>
      </w:r>
      <w:r>
        <w:rPr>
          <w:rFonts w:hint="eastAsia" w:ascii="仿宋" w:hAnsi="仿宋" w:eastAsia="仿宋" w:cs="仿宋"/>
          <w:b/>
          <w:bCs/>
          <w:color w:val="auto"/>
          <w:sz w:val="32"/>
          <w:szCs w:val="32"/>
          <w:lang w:val="en-US" w:eastAsia="zh-CN"/>
        </w:rPr>
        <w:t>16</w:t>
      </w:r>
      <w:r>
        <w:rPr>
          <w:rFonts w:hint="eastAsia" w:ascii="仿宋" w:hAnsi="仿宋" w:eastAsia="仿宋" w:cs="仿宋"/>
          <w:b/>
          <w:bCs/>
          <w:color w:val="auto"/>
          <w:sz w:val="32"/>
          <w:szCs w:val="32"/>
        </w:rPr>
        <w:t>套，建筑面积</w:t>
      </w:r>
      <w:r>
        <w:rPr>
          <w:rFonts w:hint="eastAsia" w:ascii="仿宋" w:hAnsi="仿宋" w:eastAsia="仿宋" w:cs="仿宋"/>
          <w:color w:val="auto"/>
          <w:kern w:val="0"/>
          <w:sz w:val="32"/>
          <w:szCs w:val="32"/>
          <w:lang w:val="en-US" w:eastAsia="zh-CN" w:bidi="ar-SA"/>
        </w:rPr>
        <w:t>18692.99</w:t>
      </w:r>
      <w:r>
        <w:rPr>
          <w:rFonts w:hint="eastAsia" w:ascii="仿宋" w:hAnsi="仿宋" w:eastAsia="仿宋" w:cs="仿宋"/>
          <w:b/>
          <w:bCs/>
          <w:color w:val="auto"/>
          <w:sz w:val="32"/>
          <w:szCs w:val="32"/>
        </w:rPr>
        <w:t>平方米</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详细情况见下表：</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286"/>
        <w:gridCol w:w="1318"/>
        <w:gridCol w:w="1519"/>
        <w:gridCol w:w="173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286"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楼号</w:t>
            </w:r>
          </w:p>
        </w:tc>
        <w:tc>
          <w:tcPr>
            <w:tcW w:w="131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房号</w:t>
            </w:r>
          </w:p>
        </w:tc>
        <w:tc>
          <w:tcPr>
            <w:tcW w:w="1519"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建筑面积</w:t>
            </w:r>
          </w:p>
        </w:tc>
        <w:tc>
          <w:tcPr>
            <w:tcW w:w="1734"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用途</w:t>
            </w:r>
          </w:p>
        </w:tc>
        <w:tc>
          <w:tcPr>
            <w:tcW w:w="165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w:t>
            </w:r>
          </w:p>
        </w:tc>
        <w:tc>
          <w:tcPr>
            <w:tcW w:w="131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1-机房01</w:t>
            </w:r>
          </w:p>
        </w:tc>
        <w:tc>
          <w:tcPr>
            <w:tcW w:w="1519" w:type="dxa"/>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68.58</w:t>
            </w:r>
          </w:p>
        </w:tc>
        <w:tc>
          <w:tcPr>
            <w:tcW w:w="1734" w:type="dxa"/>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水箱间</w:t>
            </w:r>
          </w:p>
        </w:tc>
        <w:tc>
          <w:tcPr>
            <w:tcW w:w="1658" w:type="dxa"/>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84.69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B1--210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63.44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B1--213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59.16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B1--216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69.75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36.09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B1--229</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43.95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B1--232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23.42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30.44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136.75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63.15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B2--215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59.8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B2--218</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70.12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36.09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B2--223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64.9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B2--234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28.84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B2--235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38.62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49.42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B3--206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26.77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B3--210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20.63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B3--213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25.04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22.36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B3--217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29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B3--220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B3--221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51.34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26.42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B3--277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61.23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30.47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132.36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B4--210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22.68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B4--213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34.83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39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58.24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B4--217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29.36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B4--221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59.33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23.71</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B4--260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76.43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30.44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87.77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57.58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49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B5--215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58.24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B5--218</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29.38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B5--223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77.49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486.78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供热站</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33.87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83.21</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47.42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261.03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733.98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消防水池</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59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B6--207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33.45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B7--201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39.86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B7--202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62.41</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B8--201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58.22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B8--202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55.38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B8--226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98.64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B9--290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76.58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11669.13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人防工程</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22.36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69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88.36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33.64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20.38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24.55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B10--208</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81.17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B10--209</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72.29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21.84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19.72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79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19.69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32.68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67.76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B10--218</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67.54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B10--219</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21.15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B10--220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19.69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B10--221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36.45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B10--223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19.69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89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30.37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86.07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B11--210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63.44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B11--213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78.43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53.76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B11--217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40.2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B11--276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23.42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30.42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99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B12--202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65.37</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B12--212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30.29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B12--214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87.62</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B12--215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30.34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B12--218</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69.73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65.91</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32.63</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107</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13.88</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108</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B12--225</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36.09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109</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B12--226</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61.45</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110</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B12--227</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30.76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111</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B12--290</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41.66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112</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B12--291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188.14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i w:val="0"/>
                <w:iCs w:val="0"/>
                <w:color w:val="auto"/>
                <w:kern w:val="0"/>
                <w:sz w:val="24"/>
                <w:szCs w:val="24"/>
                <w:u w:val="none"/>
                <w:lang w:val="en-US" w:eastAsia="zh-CN" w:bidi="ar"/>
              </w:rPr>
              <w:t>113</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地下车库</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B12--292</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46.19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设备用房</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114</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G1</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1-101</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87.86</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便利店</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G1</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1-104</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76.94</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便利店</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G1</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1-103</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20.69</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门卫、邮件和快递送达设施</w:t>
            </w: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非卖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bottom"/>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Lines="0" w:afterLines="0" w:line="560" w:lineRule="atLeast"/>
              <w:jc w:val="center"/>
              <w:rPr>
                <w:rFonts w:hint="eastAsia" w:ascii="仿宋" w:hAnsi="仿宋" w:eastAsia="仿宋" w:cs="仿宋"/>
                <w:color w:val="auto"/>
                <w:kern w:val="2"/>
                <w:sz w:val="24"/>
                <w:szCs w:val="24"/>
                <w:lang w:val="en-US" w:eastAsia="zh-CN" w:bidi="ar-SA"/>
              </w:rPr>
            </w:pP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i w:val="0"/>
                <w:iCs w:val="0"/>
                <w:color w:val="auto"/>
                <w:kern w:val="0"/>
                <w:sz w:val="24"/>
                <w:szCs w:val="24"/>
                <w:u w:val="none"/>
                <w:lang w:val="en-US" w:eastAsia="zh-CN" w:bidi="ar"/>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eastAsia="zh-CN" w:bidi="ar-SA"/>
              </w:rPr>
            </w:pPr>
            <w:r>
              <w:rPr>
                <w:rFonts w:hint="eastAsia" w:ascii="仿宋" w:hAnsi="仿宋" w:eastAsia="仿宋" w:cs="仿宋"/>
                <w:color w:val="auto"/>
                <w:kern w:val="0"/>
                <w:sz w:val="24"/>
                <w:szCs w:val="24"/>
                <w:lang w:eastAsia="zh-CN" w:bidi="ar-SA"/>
              </w:rPr>
              <w:fldChar w:fldCharType="begin"/>
            </w:r>
            <w:r>
              <w:rPr>
                <w:rFonts w:hint="eastAsia" w:ascii="仿宋" w:hAnsi="仿宋" w:eastAsia="仿宋" w:cs="仿宋"/>
                <w:color w:val="auto"/>
                <w:kern w:val="0"/>
                <w:sz w:val="24"/>
                <w:szCs w:val="24"/>
                <w:lang w:eastAsia="zh-CN" w:bidi="ar-SA"/>
              </w:rPr>
              <w:instrText xml:space="preserve"> =SUM(ABOVE) \* MERGEFORMAT </w:instrText>
            </w:r>
            <w:r>
              <w:rPr>
                <w:rFonts w:hint="eastAsia" w:ascii="仿宋" w:hAnsi="仿宋" w:eastAsia="仿宋" w:cs="仿宋"/>
                <w:color w:val="auto"/>
                <w:kern w:val="0"/>
                <w:sz w:val="24"/>
                <w:szCs w:val="24"/>
                <w:lang w:eastAsia="zh-CN" w:bidi="ar-SA"/>
              </w:rPr>
              <w:fldChar w:fldCharType="separate"/>
            </w:r>
            <w:r>
              <w:rPr>
                <w:rFonts w:hint="eastAsia" w:ascii="仿宋" w:hAnsi="仿宋" w:eastAsia="仿宋" w:cs="仿宋"/>
                <w:color w:val="auto"/>
                <w:kern w:val="0"/>
                <w:sz w:val="24"/>
                <w:szCs w:val="24"/>
                <w:lang w:eastAsia="zh-CN" w:bidi="ar-SA"/>
              </w:rPr>
              <w:t>18692.99</w:t>
            </w:r>
            <w:r>
              <w:rPr>
                <w:rFonts w:hint="eastAsia" w:ascii="仿宋" w:hAnsi="仿宋" w:eastAsia="仿宋" w:cs="仿宋"/>
                <w:color w:val="auto"/>
                <w:kern w:val="0"/>
                <w:sz w:val="24"/>
                <w:szCs w:val="24"/>
                <w:lang w:eastAsia="zh-CN" w:bidi="ar-SA"/>
              </w:rPr>
              <w:fldChar w:fldCharType="end"/>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560" w:lineRule="atLeast"/>
              <w:jc w:val="center"/>
              <w:textAlignment w:val="center"/>
              <w:rPr>
                <w:rFonts w:hint="eastAsia" w:ascii="仿宋" w:hAnsi="仿宋" w:eastAsia="仿宋" w:cs="仿宋"/>
                <w:color w:val="auto"/>
                <w:kern w:val="0"/>
                <w:sz w:val="24"/>
                <w:szCs w:val="24"/>
                <w:lang w:val="en-US" w:eastAsia="zh-CN"/>
              </w:rPr>
            </w:pPr>
          </w:p>
        </w:tc>
        <w:tc>
          <w:tcPr>
            <w:tcW w:w="1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atLeast"/>
              <w:jc w:val="center"/>
              <w:rPr>
                <w:rFonts w:hint="eastAsia" w:ascii="仿宋" w:hAnsi="仿宋" w:eastAsia="仿宋" w:cs="仿宋"/>
                <w:color w:val="auto"/>
                <w:kern w:val="0"/>
                <w:sz w:val="24"/>
                <w:szCs w:val="24"/>
                <w:lang w:val="en-US" w:eastAsia="zh-CN"/>
              </w:rPr>
            </w:pPr>
          </w:p>
        </w:tc>
      </w:tr>
    </w:tbl>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上述房产不面向社会预售。</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五、预售价格及变动幅度</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（一）销售价格及变动</w:t>
      </w:r>
      <w:bookmarkStart w:id="0" w:name="_GoBack"/>
      <w:bookmarkEnd w:id="0"/>
      <w:r>
        <w:rPr>
          <w:rFonts w:hint="eastAsia" w:ascii="仿宋" w:hAnsi="仿宋" w:eastAsia="仿宋" w:cs="仿宋"/>
          <w:b/>
          <w:bCs/>
          <w:color w:val="auto"/>
          <w:sz w:val="32"/>
          <w:szCs w:val="32"/>
        </w:rPr>
        <w:t>幅度</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申报备案。本方案中备案的销售价格为毛坯价格。</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rPr>
        <w:t>1号楼：预</w:t>
      </w:r>
      <w:r>
        <w:rPr>
          <w:rFonts w:hint="eastAsia" w:ascii="仿宋" w:hAnsi="仿宋" w:eastAsia="仿宋" w:cs="仿宋"/>
          <w:color w:val="auto"/>
          <w:sz w:val="32"/>
          <w:szCs w:val="32"/>
          <w:highlight w:val="none"/>
        </w:rPr>
        <w:t>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9435.85</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9435.85</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7572</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2号楼：预售共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平方米。其中住宅共10</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套，建筑面积</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7575</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3号楼：预售共</w:t>
      </w:r>
      <w:r>
        <w:rPr>
          <w:rFonts w:hint="eastAsia" w:ascii="仿宋" w:hAnsi="仿宋" w:eastAsia="仿宋" w:cs="仿宋"/>
          <w:color w:val="auto"/>
          <w:sz w:val="32"/>
          <w:szCs w:val="32"/>
          <w:highlight w:val="none"/>
          <w:lang w:val="en-US" w:eastAsia="zh-CN"/>
        </w:rPr>
        <w:t>64</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7881.77</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64</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7881.77</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7574</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6600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7586</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平方米。其中住</w:t>
      </w:r>
      <w:r>
        <w:rPr>
          <w:rFonts w:hint="eastAsia" w:ascii="仿宋" w:hAnsi="仿宋" w:eastAsia="仿宋" w:cs="仿宋"/>
          <w:color w:val="auto"/>
          <w:sz w:val="32"/>
          <w:szCs w:val="32"/>
        </w:rPr>
        <w:t>宅共</w:t>
      </w:r>
      <w:r>
        <w:rPr>
          <w:rFonts w:hint="eastAsia" w:ascii="仿宋" w:hAnsi="仿宋" w:eastAsia="仿宋" w:cs="仿宋"/>
          <w:color w:val="auto"/>
          <w:sz w:val="32"/>
          <w:szCs w:val="32"/>
          <w:lang w:val="en-US" w:eastAsia="zh-CN"/>
        </w:rPr>
        <w:t>102</w:t>
      </w:r>
      <w:r>
        <w:rPr>
          <w:rFonts w:hint="eastAsia" w:ascii="仿宋" w:hAnsi="仿宋" w:eastAsia="仿宋" w:cs="仿宋"/>
          <w:color w:val="auto"/>
          <w:sz w:val="32"/>
          <w:szCs w:val="32"/>
        </w:rPr>
        <w:t>套，建筑面</w:t>
      </w:r>
      <w:r>
        <w:rPr>
          <w:rFonts w:hint="eastAsia" w:ascii="仿宋" w:hAnsi="仿宋" w:eastAsia="仿宋" w:cs="仿宋"/>
          <w:color w:val="auto"/>
          <w:sz w:val="32"/>
          <w:szCs w:val="32"/>
          <w:highlight w:val="none"/>
        </w:rPr>
        <w:t>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7577</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6947.50</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6947.50</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7572</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6600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号楼：预售共56套，建筑面积为</w:t>
      </w:r>
      <w:r>
        <w:rPr>
          <w:rFonts w:hint="eastAsia" w:ascii="仿宋" w:hAnsi="仿宋" w:eastAsia="仿宋" w:cs="仿宋"/>
          <w:color w:val="auto"/>
          <w:sz w:val="32"/>
          <w:szCs w:val="32"/>
          <w:highlight w:val="none"/>
          <w:lang w:val="en-US" w:eastAsia="zh-CN"/>
        </w:rPr>
        <w:t>6902.20</w:t>
      </w:r>
      <w:r>
        <w:rPr>
          <w:rFonts w:hint="eastAsia" w:ascii="仿宋" w:hAnsi="仿宋" w:eastAsia="仿宋" w:cs="仿宋"/>
          <w:color w:val="auto"/>
          <w:sz w:val="32"/>
          <w:szCs w:val="32"/>
          <w:highlight w:val="none"/>
        </w:rPr>
        <w:t>平方米。其中住</w:t>
      </w:r>
      <w:r>
        <w:rPr>
          <w:rFonts w:hint="eastAsia" w:ascii="仿宋" w:hAnsi="仿宋" w:eastAsia="仿宋" w:cs="仿宋"/>
          <w:color w:val="auto"/>
          <w:sz w:val="32"/>
          <w:szCs w:val="32"/>
        </w:rPr>
        <w:t>宅共56套，建</w:t>
      </w:r>
      <w:r>
        <w:rPr>
          <w:rFonts w:hint="eastAsia" w:ascii="仿宋" w:hAnsi="仿宋" w:eastAsia="仿宋" w:cs="仿宋"/>
          <w:color w:val="auto"/>
          <w:sz w:val="32"/>
          <w:szCs w:val="32"/>
          <w:highlight w:val="none"/>
        </w:rPr>
        <w:t>筑面积为</w:t>
      </w:r>
      <w:r>
        <w:rPr>
          <w:rFonts w:hint="eastAsia" w:ascii="仿宋" w:hAnsi="仿宋" w:eastAsia="仿宋" w:cs="仿宋"/>
          <w:color w:val="auto"/>
          <w:sz w:val="32"/>
          <w:szCs w:val="32"/>
          <w:highlight w:val="none"/>
          <w:lang w:val="en-US" w:eastAsia="zh-CN"/>
        </w:rPr>
        <w:t>6902.60</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7411</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8500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6600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6947.50</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6947.50</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7566</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6600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69</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7805.62</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68</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7737.04</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7575</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7421.51</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7421.51</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7567</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6600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6947.50</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7570</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平方米。其中住宅共</w:t>
      </w:r>
      <w:r>
        <w:rPr>
          <w:rFonts w:hint="eastAsia" w:ascii="仿宋" w:hAnsi="仿宋" w:eastAsia="仿宋" w:cs="仿宋"/>
          <w:color w:val="auto"/>
          <w:sz w:val="32"/>
          <w:szCs w:val="32"/>
          <w:highlight w:val="none"/>
          <w:lang w:val="en-US" w:eastAsia="zh-CN"/>
        </w:rPr>
        <w:t>102</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9474.78</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7597</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8700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6500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G1</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680.86</w:t>
      </w:r>
      <w:r>
        <w:rPr>
          <w:rFonts w:hint="eastAsia" w:ascii="仿宋" w:hAnsi="仿宋" w:eastAsia="仿宋" w:cs="仿宋"/>
          <w:color w:val="auto"/>
          <w:sz w:val="32"/>
          <w:szCs w:val="32"/>
          <w:highlight w:val="none"/>
        </w:rPr>
        <w:t>平方米。</w:t>
      </w:r>
      <w:r>
        <w:rPr>
          <w:rFonts w:hint="eastAsia" w:ascii="仿宋" w:hAnsi="仿宋" w:eastAsia="仿宋" w:cs="仿宋"/>
          <w:color w:val="auto"/>
          <w:sz w:val="32"/>
          <w:szCs w:val="32"/>
          <w:highlight w:val="none"/>
          <w:lang w:val="en-US" w:eastAsia="zh-CN"/>
        </w:rPr>
        <w:t>配套商业1套，</w:t>
      </w:r>
      <w:r>
        <w:rPr>
          <w:rFonts w:hint="eastAsia" w:ascii="仿宋" w:hAnsi="仿宋" w:eastAsia="仿宋" w:cs="仿宋"/>
          <w:color w:val="auto"/>
          <w:sz w:val="32"/>
          <w:szCs w:val="32"/>
          <w:highlight w:val="none"/>
        </w:rPr>
        <w:t>建筑面积为</w:t>
      </w:r>
      <w:r>
        <w:rPr>
          <w:rFonts w:hint="eastAsia" w:ascii="仿宋" w:hAnsi="仿宋" w:eastAsia="仿宋" w:cs="仿宋"/>
          <w:color w:val="auto"/>
          <w:sz w:val="32"/>
          <w:szCs w:val="32"/>
          <w:highlight w:val="none"/>
          <w:lang w:val="en-US" w:eastAsia="zh-CN"/>
        </w:rPr>
        <w:t>43.08</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G2</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231.87</w:t>
      </w:r>
      <w:r>
        <w:rPr>
          <w:rFonts w:hint="eastAsia" w:ascii="仿宋" w:hAnsi="仿宋" w:eastAsia="仿宋" w:cs="仿宋"/>
          <w:color w:val="auto"/>
          <w:sz w:val="32"/>
          <w:szCs w:val="32"/>
          <w:highlight w:val="none"/>
        </w:rPr>
        <w:t>平方米。其中</w:t>
      </w:r>
      <w:r>
        <w:rPr>
          <w:rFonts w:hint="eastAsia" w:ascii="仿宋" w:hAnsi="仿宋" w:eastAsia="仿宋" w:cs="仿宋"/>
          <w:color w:val="auto"/>
          <w:sz w:val="32"/>
          <w:szCs w:val="32"/>
          <w:highlight w:val="none"/>
          <w:lang w:val="en-US" w:eastAsia="zh-CN"/>
        </w:rPr>
        <w:t>配套商业3套，</w:t>
      </w:r>
      <w:r>
        <w:rPr>
          <w:rFonts w:hint="eastAsia" w:ascii="仿宋" w:hAnsi="仿宋" w:eastAsia="仿宋" w:cs="仿宋"/>
          <w:color w:val="auto"/>
          <w:sz w:val="32"/>
          <w:szCs w:val="32"/>
          <w:highlight w:val="none"/>
        </w:rPr>
        <w:t>建筑面积为</w:t>
      </w:r>
      <w:r>
        <w:rPr>
          <w:rFonts w:hint="eastAsia" w:ascii="仿宋" w:hAnsi="仿宋" w:eastAsia="仿宋" w:cs="仿宋"/>
          <w:color w:val="auto"/>
          <w:sz w:val="32"/>
          <w:szCs w:val="32"/>
          <w:highlight w:val="none"/>
          <w:lang w:val="en-US" w:eastAsia="zh-CN"/>
        </w:rPr>
        <w:t>122.22</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G3</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696.25</w:t>
      </w:r>
      <w:r>
        <w:rPr>
          <w:rFonts w:hint="eastAsia" w:ascii="仿宋" w:hAnsi="仿宋" w:eastAsia="仿宋" w:cs="仿宋"/>
          <w:color w:val="auto"/>
          <w:sz w:val="32"/>
          <w:szCs w:val="32"/>
          <w:highlight w:val="none"/>
        </w:rPr>
        <w:t>平方米。其中</w:t>
      </w:r>
      <w:r>
        <w:rPr>
          <w:rFonts w:hint="eastAsia" w:ascii="仿宋" w:hAnsi="仿宋" w:eastAsia="仿宋" w:cs="仿宋"/>
          <w:color w:val="auto"/>
          <w:sz w:val="32"/>
          <w:szCs w:val="32"/>
          <w:highlight w:val="none"/>
          <w:lang w:val="en-US" w:eastAsia="zh-CN"/>
        </w:rPr>
        <w:t>配套商业1套，</w:t>
      </w:r>
      <w:r>
        <w:rPr>
          <w:rFonts w:hint="eastAsia" w:ascii="仿宋" w:hAnsi="仿宋" w:eastAsia="仿宋" w:cs="仿宋"/>
          <w:color w:val="auto"/>
          <w:sz w:val="32"/>
          <w:szCs w:val="32"/>
          <w:highlight w:val="none"/>
        </w:rPr>
        <w:t>建筑面积为</w:t>
      </w:r>
      <w:r>
        <w:rPr>
          <w:rFonts w:hint="eastAsia" w:ascii="仿宋" w:hAnsi="仿宋" w:eastAsia="仿宋" w:cs="仿宋"/>
          <w:color w:val="auto"/>
          <w:sz w:val="32"/>
          <w:szCs w:val="32"/>
          <w:highlight w:val="none"/>
          <w:lang w:val="en-US" w:eastAsia="zh-CN"/>
        </w:rPr>
        <w:t>19.21</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G4</w:t>
      </w:r>
      <w:r>
        <w:rPr>
          <w:rFonts w:hint="eastAsia" w:ascii="仿宋" w:hAnsi="仿宋" w:eastAsia="仿宋" w:cs="仿宋"/>
          <w:color w:val="auto"/>
          <w:sz w:val="32"/>
          <w:szCs w:val="32"/>
          <w:highlight w:val="none"/>
        </w:rPr>
        <w:t>号楼：预售共</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套，建筑面积为</w:t>
      </w:r>
      <w:r>
        <w:rPr>
          <w:rFonts w:hint="eastAsia" w:ascii="仿宋" w:hAnsi="仿宋" w:eastAsia="仿宋" w:cs="仿宋"/>
          <w:color w:val="auto"/>
          <w:sz w:val="32"/>
          <w:szCs w:val="32"/>
          <w:highlight w:val="none"/>
          <w:lang w:val="en-US" w:eastAsia="zh-CN"/>
        </w:rPr>
        <w:t>159.35</w:t>
      </w:r>
      <w:r>
        <w:rPr>
          <w:rFonts w:hint="eastAsia" w:ascii="仿宋" w:hAnsi="仿宋" w:eastAsia="仿宋" w:cs="仿宋"/>
          <w:color w:val="auto"/>
          <w:sz w:val="32"/>
          <w:szCs w:val="32"/>
          <w:highlight w:val="none"/>
        </w:rPr>
        <w:t>平方米。其中</w:t>
      </w:r>
      <w:r>
        <w:rPr>
          <w:rFonts w:hint="eastAsia" w:ascii="仿宋" w:hAnsi="仿宋" w:eastAsia="仿宋" w:cs="仿宋"/>
          <w:color w:val="auto"/>
          <w:sz w:val="32"/>
          <w:szCs w:val="32"/>
          <w:highlight w:val="none"/>
          <w:lang w:val="en-US" w:eastAsia="zh-CN"/>
        </w:rPr>
        <w:t>配套商业1套，</w:t>
      </w:r>
      <w:r>
        <w:rPr>
          <w:rFonts w:hint="eastAsia" w:ascii="仿宋" w:hAnsi="仿宋" w:eastAsia="仿宋" w:cs="仿宋"/>
          <w:color w:val="auto"/>
          <w:sz w:val="32"/>
          <w:szCs w:val="32"/>
          <w:highlight w:val="none"/>
        </w:rPr>
        <w:t>建筑面积为</w:t>
      </w:r>
      <w:r>
        <w:rPr>
          <w:rFonts w:hint="eastAsia" w:ascii="仿宋" w:hAnsi="仿宋" w:eastAsia="仿宋" w:cs="仿宋"/>
          <w:color w:val="auto"/>
          <w:sz w:val="32"/>
          <w:szCs w:val="32"/>
          <w:highlight w:val="none"/>
          <w:lang w:val="en-US" w:eastAsia="zh-CN"/>
        </w:rPr>
        <w:t>159.35</w:t>
      </w:r>
      <w:r>
        <w:rPr>
          <w:rFonts w:hint="eastAsia" w:ascii="仿宋" w:hAnsi="仿宋" w:eastAsia="仿宋" w:cs="仿宋"/>
          <w:color w:val="auto"/>
          <w:sz w:val="32"/>
          <w:szCs w:val="32"/>
          <w:highlight w:val="none"/>
        </w:rPr>
        <w:t>平方米，平均售价为每平方米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元，最高售价为每平米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18000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车位</w:t>
      </w:r>
      <w:r>
        <w:rPr>
          <w:rFonts w:hint="eastAsia" w:ascii="仿宋" w:hAnsi="仿宋" w:eastAsia="仿宋" w:cs="仿宋"/>
          <w:color w:val="auto"/>
          <w:sz w:val="32"/>
          <w:szCs w:val="32"/>
          <w:lang w:val="en-US" w:eastAsia="zh-CN"/>
        </w:rPr>
        <w:t>597</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18759.82</w:t>
      </w:r>
      <w:r>
        <w:rPr>
          <w:rFonts w:hint="eastAsia" w:ascii="仿宋" w:hAnsi="仿宋" w:eastAsia="仿宋" w:cs="仿宋"/>
          <w:color w:val="auto"/>
          <w:sz w:val="32"/>
          <w:szCs w:val="32"/>
        </w:rPr>
        <w:t>平方米，</w:t>
      </w:r>
      <w:r>
        <w:rPr>
          <w:rFonts w:hint="eastAsia" w:ascii="仿宋" w:hAnsi="仿宋" w:eastAsia="仿宋" w:cs="仿宋"/>
          <w:color w:val="auto"/>
          <w:sz w:val="32"/>
          <w:szCs w:val="32"/>
          <w:lang w:val="en-US" w:eastAsia="zh-CN"/>
        </w:rPr>
        <w:t>平均售价</w:t>
      </w:r>
      <w:r>
        <w:rPr>
          <w:rFonts w:hint="eastAsia" w:ascii="仿宋" w:hAnsi="仿宋" w:eastAsia="仿宋" w:cs="仿宋"/>
          <w:color w:val="auto"/>
          <w:sz w:val="32"/>
          <w:szCs w:val="32"/>
        </w:rPr>
        <w:t>为每平方米</w:t>
      </w:r>
      <w:r>
        <w:rPr>
          <w:rFonts w:hint="eastAsia" w:ascii="仿宋" w:hAnsi="仿宋" w:eastAsia="仿宋" w:cs="仿宋"/>
          <w:color w:val="auto"/>
          <w:sz w:val="32"/>
          <w:szCs w:val="32"/>
          <w:lang w:val="en-US" w:eastAsia="zh-CN"/>
        </w:rPr>
        <w:t>3200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最高售价为每平米</w:t>
      </w:r>
      <w:r>
        <w:rPr>
          <w:rFonts w:hint="eastAsia" w:ascii="仿宋" w:hAnsi="仿宋" w:eastAsia="仿宋" w:cs="仿宋"/>
          <w:color w:val="auto"/>
          <w:sz w:val="32"/>
          <w:szCs w:val="32"/>
          <w:highlight w:val="none"/>
          <w:lang w:val="en-US" w:eastAsia="zh-CN"/>
        </w:rPr>
        <w:t>3200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3200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仓库</w:t>
      </w:r>
      <w:r>
        <w:rPr>
          <w:rFonts w:hint="eastAsia" w:ascii="仿宋" w:hAnsi="仿宋" w:eastAsia="仿宋" w:cs="仿宋"/>
          <w:color w:val="auto"/>
          <w:sz w:val="32"/>
          <w:szCs w:val="32"/>
          <w:lang w:val="en-US" w:eastAsia="zh-CN"/>
        </w:rPr>
        <w:t>193</w:t>
      </w:r>
      <w:r>
        <w:rPr>
          <w:rFonts w:hint="eastAsia" w:ascii="仿宋" w:hAnsi="仿宋" w:eastAsia="仿宋" w:cs="仿宋"/>
          <w:color w:val="auto"/>
          <w:sz w:val="32"/>
          <w:szCs w:val="32"/>
        </w:rPr>
        <w:t>套，建筑面积</w:t>
      </w:r>
      <w:r>
        <w:rPr>
          <w:rFonts w:hint="eastAsia" w:ascii="仿宋" w:hAnsi="仿宋" w:eastAsia="仿宋" w:cs="仿宋"/>
          <w:color w:val="auto"/>
          <w:sz w:val="32"/>
          <w:szCs w:val="32"/>
          <w:lang w:val="en-US" w:eastAsia="zh-CN"/>
        </w:rPr>
        <w:t>7580.96</w:t>
      </w:r>
      <w:r>
        <w:rPr>
          <w:rFonts w:hint="eastAsia" w:ascii="仿宋" w:hAnsi="仿宋" w:eastAsia="仿宋" w:cs="仿宋"/>
          <w:color w:val="auto"/>
          <w:sz w:val="32"/>
          <w:szCs w:val="32"/>
        </w:rPr>
        <w:t>平方米，平均售价为每平方米</w:t>
      </w:r>
      <w:r>
        <w:rPr>
          <w:rFonts w:hint="eastAsia" w:ascii="仿宋" w:hAnsi="仿宋" w:eastAsia="仿宋" w:cs="仿宋"/>
          <w:color w:val="auto"/>
          <w:sz w:val="32"/>
          <w:szCs w:val="32"/>
          <w:lang w:val="en-US" w:eastAsia="zh-CN"/>
        </w:rPr>
        <w:t>3500</w:t>
      </w:r>
      <w:r>
        <w:rPr>
          <w:rFonts w:hint="eastAsia" w:ascii="仿宋" w:hAnsi="仿宋" w:eastAsia="仿宋" w:cs="仿宋"/>
          <w:color w:val="auto"/>
          <w:sz w:val="32"/>
          <w:szCs w:val="32"/>
        </w:rPr>
        <w:t>元；</w:t>
      </w:r>
      <w:r>
        <w:rPr>
          <w:rFonts w:hint="eastAsia" w:ascii="仿宋" w:hAnsi="仿宋" w:eastAsia="仿宋" w:cs="仿宋"/>
          <w:color w:val="auto"/>
          <w:sz w:val="32"/>
          <w:szCs w:val="32"/>
          <w:highlight w:val="none"/>
        </w:rPr>
        <w:t>最高售价为每平米</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rPr>
        <w:t>元，最低售价为每平方米</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具体每套房屋售价，详见附件2：经赤峰市市场监督管理局审核备</w:t>
      </w:r>
    </w:p>
    <w:p>
      <w:pPr>
        <w:keepNext w:val="0"/>
        <w:keepLines w:val="0"/>
        <w:pageBreakBefore w:val="0"/>
        <w:kinsoku/>
        <w:wordWrap/>
        <w:overflowPunct/>
        <w:topLinePunct w:val="0"/>
        <w:bidi w:val="0"/>
        <w:adjustRightInd w:val="0"/>
        <w:snapToGrid w:val="0"/>
        <w:spacing w:line="560" w:lineRule="atLeast"/>
        <w:rPr>
          <w:rFonts w:hint="eastAsia" w:ascii="仿宋" w:hAnsi="仿宋" w:eastAsia="仿宋" w:cs="仿宋"/>
          <w:b/>
          <w:bCs/>
          <w:color w:val="auto"/>
          <w:sz w:val="32"/>
          <w:szCs w:val="32"/>
        </w:rPr>
      </w:pPr>
      <w:r>
        <w:rPr>
          <w:rFonts w:hint="eastAsia" w:ascii="仿宋" w:hAnsi="仿宋" w:eastAsia="仿宋" w:cs="仿宋"/>
          <w:b/>
          <w:bCs/>
          <w:color w:val="auto"/>
          <w:sz w:val="32"/>
          <w:szCs w:val="32"/>
        </w:rPr>
        <w:t>案的《赤峰市商品房销售明码标价备案审核表》《价格手册》《明码标价书》《销控及公示明细表》。</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（二）销售方式、优惠方式及幅度</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销  售  方  式：商品房预售采取购房者先到先选择房源的方式。</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优惠方式及幅度：无优惠</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（三）组织销售情况</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1、本项目取得商品房预售许可证后，由</w:t>
      </w:r>
      <w:r>
        <w:rPr>
          <w:rFonts w:hint="eastAsia" w:ascii="仿宋" w:hAnsi="仿宋" w:eastAsia="仿宋" w:cs="仿宋"/>
          <w:color w:val="auto"/>
          <w:sz w:val="32"/>
          <w:szCs w:val="32"/>
          <w:lang w:eastAsia="zh-CN"/>
        </w:rPr>
        <w:t>赤峰天通房地产开发有限公司</w:t>
      </w:r>
      <w:r>
        <w:rPr>
          <w:rFonts w:hint="eastAsia" w:ascii="仿宋" w:hAnsi="仿宋" w:eastAsia="仿宋" w:cs="仿宋"/>
          <w:color w:val="auto"/>
          <w:sz w:val="32"/>
          <w:szCs w:val="32"/>
        </w:rPr>
        <w:t>按照本方案自行组织销售。</w:t>
      </w:r>
    </w:p>
    <w:p>
      <w:pPr>
        <w:keepNext w:val="0"/>
        <w:keepLines w:val="0"/>
        <w:pageBreakBefore w:val="0"/>
        <w:widowControl/>
        <w:kinsoku/>
        <w:wordWrap/>
        <w:overflowPunct/>
        <w:topLinePunct w:val="0"/>
        <w:bidi w:val="0"/>
        <w:adjustRightInd w:val="0"/>
        <w:snapToGrid w:val="0"/>
        <w:spacing w:line="560" w:lineRule="atLeast"/>
        <w:ind w:firstLine="640"/>
        <w:rPr>
          <w:rFonts w:hint="eastAsia" w:ascii="仿宋" w:hAnsi="仿宋" w:eastAsia="仿宋" w:cs="仿宋"/>
          <w:color w:val="auto"/>
          <w:sz w:val="32"/>
          <w:szCs w:val="32"/>
        </w:rPr>
      </w:pPr>
      <w:r>
        <w:rPr>
          <w:rFonts w:hint="eastAsia" w:ascii="仿宋" w:hAnsi="仿宋" w:eastAsia="仿宋" w:cs="仿宋"/>
          <w:color w:val="auto"/>
          <w:sz w:val="32"/>
          <w:szCs w:val="32"/>
        </w:rPr>
        <w:t>销售负责人：</w:t>
      </w:r>
      <w:r>
        <w:rPr>
          <w:rFonts w:hint="eastAsia" w:ascii="仿宋" w:hAnsi="仿宋" w:eastAsia="仿宋" w:cs="仿宋"/>
          <w:color w:val="auto"/>
          <w:sz w:val="32"/>
          <w:szCs w:val="32"/>
          <w:lang w:val="en-US" w:eastAsia="zh-CN"/>
        </w:rPr>
        <w:t>郭海伟，</w:t>
      </w:r>
      <w:r>
        <w:rPr>
          <w:rFonts w:hint="eastAsia" w:ascii="仿宋" w:hAnsi="仿宋" w:eastAsia="仿宋" w:cs="仿宋"/>
          <w:color w:val="auto"/>
          <w:sz w:val="32"/>
          <w:szCs w:val="32"/>
        </w:rPr>
        <w:t>执业证书编号为：</w:t>
      </w:r>
      <w:r>
        <w:rPr>
          <w:rFonts w:hint="eastAsia" w:ascii="仿宋" w:hAnsi="仿宋" w:eastAsia="仿宋" w:cs="仿宋"/>
          <w:color w:val="auto"/>
          <w:sz w:val="32"/>
          <w:szCs w:val="32"/>
          <w:lang w:val="en-US" w:eastAsia="zh-CN"/>
        </w:rPr>
        <w:t>1912020154</w:t>
      </w:r>
      <w:r>
        <w:rPr>
          <w:rFonts w:hint="eastAsia" w:ascii="仿宋" w:hAnsi="仿宋" w:eastAsia="仿宋" w:cs="仿宋"/>
          <w:color w:val="auto"/>
          <w:sz w:val="32"/>
          <w:szCs w:val="32"/>
        </w:rPr>
        <w:t>；</w:t>
      </w:r>
    </w:p>
    <w:p>
      <w:pPr>
        <w:keepNext w:val="0"/>
        <w:keepLines w:val="0"/>
        <w:pageBreakBefore w:val="0"/>
        <w:widowControl/>
        <w:kinsoku/>
        <w:wordWrap/>
        <w:overflowPunct/>
        <w:topLinePunct w:val="0"/>
        <w:bidi w:val="0"/>
        <w:adjustRightInd w:val="0"/>
        <w:snapToGrid w:val="0"/>
        <w:spacing w:line="560" w:lineRule="atLeas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售  楼  员：</w:t>
      </w:r>
      <w:r>
        <w:rPr>
          <w:rFonts w:hint="eastAsia" w:ascii="仿宋" w:hAnsi="仿宋" w:eastAsia="仿宋" w:cs="仿宋"/>
          <w:color w:val="auto"/>
          <w:sz w:val="32"/>
          <w:szCs w:val="32"/>
          <w:lang w:val="en-US" w:eastAsia="zh-CN"/>
        </w:rPr>
        <w:t>袁利萍</w:t>
      </w:r>
      <w:r>
        <w:rPr>
          <w:rFonts w:hint="eastAsia" w:ascii="仿宋" w:hAnsi="仿宋" w:eastAsia="仿宋" w:cs="仿宋"/>
          <w:color w:val="auto"/>
          <w:sz w:val="32"/>
          <w:szCs w:val="32"/>
        </w:rPr>
        <w:t>，执业证书编号为：</w:t>
      </w:r>
      <w:r>
        <w:rPr>
          <w:rFonts w:hint="eastAsia" w:ascii="仿宋" w:hAnsi="仿宋" w:eastAsia="仿宋" w:cs="仿宋"/>
          <w:color w:val="auto"/>
          <w:sz w:val="32"/>
          <w:szCs w:val="32"/>
          <w:lang w:val="en-US" w:eastAsia="zh-CN"/>
        </w:rPr>
        <w:t>1104010696</w:t>
      </w:r>
      <w:r>
        <w:rPr>
          <w:rFonts w:hint="eastAsia" w:ascii="仿宋" w:hAnsi="仿宋" w:eastAsia="仿宋" w:cs="仿宋"/>
          <w:color w:val="auto"/>
          <w:sz w:val="32"/>
          <w:szCs w:val="32"/>
        </w:rPr>
        <w:t>；</w:t>
      </w:r>
    </w:p>
    <w:p>
      <w:pPr>
        <w:keepNext w:val="0"/>
        <w:keepLines w:val="0"/>
        <w:pageBreakBefore w:val="0"/>
        <w:widowControl/>
        <w:kinsoku/>
        <w:wordWrap/>
        <w:overflowPunct/>
        <w:topLinePunct w:val="0"/>
        <w:bidi w:val="0"/>
        <w:adjustRightInd w:val="0"/>
        <w:snapToGrid w:val="0"/>
        <w:spacing w:line="560" w:lineRule="atLeast"/>
        <w:ind w:firstLine="256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张翠萍</w:t>
      </w:r>
      <w:r>
        <w:rPr>
          <w:rFonts w:hint="eastAsia" w:ascii="仿宋" w:hAnsi="仿宋" w:eastAsia="仿宋" w:cs="仿宋"/>
          <w:color w:val="auto"/>
          <w:sz w:val="32"/>
          <w:szCs w:val="32"/>
          <w:highlight w:val="none"/>
        </w:rPr>
        <w:t>，执业证书编号为：</w:t>
      </w:r>
      <w:r>
        <w:rPr>
          <w:rFonts w:hint="eastAsia" w:ascii="仿宋" w:hAnsi="仿宋" w:eastAsia="仿宋" w:cs="仿宋"/>
          <w:color w:val="auto"/>
          <w:sz w:val="32"/>
          <w:szCs w:val="32"/>
          <w:highlight w:val="none"/>
          <w:lang w:val="en-US" w:eastAsia="zh-CN"/>
        </w:rPr>
        <w:t>1104010680</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rPr>
        <w:t>2、</w:t>
      </w:r>
      <w:r>
        <w:rPr>
          <w:rFonts w:hint="eastAsia" w:ascii="仿宋" w:hAnsi="仿宋" w:eastAsia="仿宋" w:cs="仿宋"/>
          <w:color w:val="auto"/>
          <w:kern w:val="0"/>
          <w:sz w:val="32"/>
          <w:szCs w:val="32"/>
          <w:highlight w:val="none"/>
          <w:lang w:val="zh-CN"/>
        </w:rPr>
        <w:t>本项目的预售资金全部纳入公司专用账户（开户行：</w:t>
      </w:r>
      <w:r>
        <w:rPr>
          <w:rFonts w:hint="eastAsia" w:ascii="仿宋" w:hAnsi="仿宋" w:eastAsia="仿宋" w:cs="仿宋"/>
          <w:color w:val="auto"/>
          <w:kern w:val="0"/>
          <w:sz w:val="32"/>
          <w:szCs w:val="32"/>
          <w:highlight w:val="none"/>
          <w:lang w:val="en-US" w:eastAsia="zh-CN"/>
        </w:rPr>
        <w:t>赤峰天通房地产开发有限公司瑞和园项目</w:t>
      </w:r>
      <w:r>
        <w:rPr>
          <w:rFonts w:hint="eastAsia" w:ascii="仿宋" w:hAnsi="仿宋" w:eastAsia="仿宋" w:cs="仿宋"/>
          <w:color w:val="auto"/>
          <w:kern w:val="0"/>
          <w:sz w:val="32"/>
          <w:szCs w:val="32"/>
          <w:highlight w:val="none"/>
          <w:lang w:val="zh-CN"/>
        </w:rPr>
        <w:t>；账号：</w:t>
      </w:r>
      <w:r>
        <w:rPr>
          <w:rFonts w:hint="eastAsia" w:ascii="仿宋" w:hAnsi="仿宋" w:eastAsia="仿宋" w:cs="仿宋"/>
          <w:color w:val="auto"/>
          <w:kern w:val="0"/>
          <w:sz w:val="32"/>
          <w:szCs w:val="32"/>
          <w:highlight w:val="none"/>
          <w:lang w:val="en-US" w:eastAsia="zh-CN"/>
        </w:rPr>
        <w:t>4205401220000000065411-00003</w:t>
      </w:r>
      <w:r>
        <w:rPr>
          <w:rFonts w:hint="eastAsia" w:ascii="仿宋" w:hAnsi="仿宋" w:eastAsia="仿宋" w:cs="仿宋"/>
          <w:color w:val="auto"/>
          <w:kern w:val="0"/>
          <w:sz w:val="32"/>
          <w:szCs w:val="32"/>
          <w:highlight w:val="none"/>
          <w:lang w:val="zh-CN"/>
        </w:rPr>
        <w:t>），并且保</w:t>
      </w:r>
      <w:r>
        <w:rPr>
          <w:rFonts w:hint="eastAsia" w:ascii="仿宋" w:hAnsi="仿宋" w:eastAsia="仿宋" w:cs="仿宋"/>
          <w:color w:val="auto"/>
          <w:kern w:val="0"/>
          <w:sz w:val="32"/>
          <w:szCs w:val="32"/>
          <w:lang w:val="zh-CN"/>
        </w:rPr>
        <w:t>证预售资金全部用于该项目工程建设。</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4、我公司保证在取得商品房预售许可证后10日内一次性公开全部准售房源，按照备案价格明码标价对外销售。商品房销售价格根据市场情况进行上下调整时，报主管部门申请备案并公示。</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六、住房质量责任承担主体和承担方式</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商品房交付使用时按照规定向业主提供“商品房质量保证书”和“商品房使用说明书”。商品房质量出现问题由</w:t>
      </w:r>
      <w:r>
        <w:rPr>
          <w:rFonts w:hint="eastAsia" w:ascii="仿宋" w:hAnsi="仿宋" w:eastAsia="仿宋" w:cs="仿宋"/>
          <w:color w:val="auto"/>
          <w:sz w:val="32"/>
          <w:szCs w:val="32"/>
          <w:lang w:eastAsia="zh-CN"/>
        </w:rPr>
        <w:t>赤峰天通房地产开发有限公司</w:t>
      </w:r>
      <w:r>
        <w:rPr>
          <w:rFonts w:hint="eastAsia" w:ascii="仿宋" w:hAnsi="仿宋" w:eastAsia="仿宋" w:cs="仿宋"/>
          <w:color w:val="auto"/>
          <w:sz w:val="32"/>
          <w:szCs w:val="32"/>
        </w:rPr>
        <w:t>承担赔偿相应损失，并保留向造成质量问题的相关单位和个人追究责任的权利。</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七、住房能源消耗指标和节能措施</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（一）能耗指标：11.44（W/㎡）</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（二）节能措施：</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1.屋面：0.46 聚苯板100㎜</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2.外墙：0.59 EPS模块（50㎜）</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3.窗：2.50 塑钢-68系列平开窗（5+9A+5）</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4.墙体材料种类：抗裂砂浆（10㎜）+水泥砂浆（20㎜）</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供热采暖（制冷）系统节能方式：每组散热器支管设温控阀</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6.供热采暖系统选用设备及产品：地面辐射热采暖（地暖）</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7.是否安装热力计量装置: 是</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8.是否设计太阳能供水系统：否</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9.热水系统供水方式：章鱼式</w:t>
      </w:r>
    </w:p>
    <w:p>
      <w:pPr>
        <w:keepNext w:val="0"/>
        <w:keepLines w:val="0"/>
        <w:pageBreakBefore w:val="0"/>
        <w:kinsoku/>
        <w:wordWrap/>
        <w:overflowPunct/>
        <w:topLinePunct w:val="0"/>
        <w:bidi w:val="0"/>
        <w:adjustRightInd w:val="0"/>
        <w:snapToGrid w:val="0"/>
        <w:spacing w:line="560" w:lineRule="atLeas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八、小区绿化、硬化及物业管理</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小区绿化采用“</w:t>
      </w:r>
      <w:r>
        <w:rPr>
          <w:rFonts w:hint="eastAsia" w:ascii="仿宋" w:hAnsi="仿宋" w:eastAsia="仿宋" w:cs="仿宋"/>
          <w:color w:val="auto"/>
          <w:sz w:val="32"/>
          <w:szCs w:val="32"/>
          <w:lang w:val="en-US" w:eastAsia="zh-CN"/>
        </w:rPr>
        <w:t>一心、两轴、多组团</w:t>
      </w:r>
      <w:r>
        <w:rPr>
          <w:rFonts w:hint="eastAsia" w:ascii="仿宋" w:hAnsi="仿宋" w:eastAsia="仿宋" w:cs="仿宋"/>
          <w:color w:val="auto"/>
          <w:sz w:val="32"/>
          <w:szCs w:val="32"/>
          <w:lang w:val="zh-CN"/>
        </w:rPr>
        <w:t>”设计，对称美观。小区绿化采用乔木与灌木相结合，常绿与落叶结合。宽敞舒适，景色宜人，根据地形与需求设置多种配套休闲景观。小区景观绿化设计要坚持以人为本的原则，满足人们休息、健身、休闲娱乐的空间。坚持生态性原则，在设计施工中选用了大量抗污染，吸收有害其气体的乡土树种。坚持简洁大方、特色突出的原则，力求以流畅的绿化曲线，色彩鲜明植物配置，独具特色的景观，给人留下鲜明深刻的印象。</w:t>
      </w:r>
    </w:p>
    <w:p>
      <w:pPr>
        <w:keepNext w:val="0"/>
        <w:keepLines w:val="0"/>
        <w:pageBreakBefore w:val="0"/>
        <w:kinsoku/>
        <w:wordWrap/>
        <w:overflowPunct/>
        <w:topLinePunct w:val="0"/>
        <w:bidi w:val="0"/>
        <w:adjustRightInd w:val="0"/>
        <w:snapToGrid w:val="0"/>
        <w:spacing w:line="560" w:lineRule="atLeas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小区硬化</w:t>
      </w:r>
      <w:r>
        <w:rPr>
          <w:rFonts w:hint="eastAsia" w:ascii="仿宋" w:hAnsi="仿宋" w:eastAsia="仿宋" w:cs="仿宋"/>
          <w:color w:val="auto"/>
          <w:sz w:val="32"/>
          <w:szCs w:val="32"/>
          <w:highlight w:val="none"/>
          <w:lang w:val="zh-CN"/>
        </w:rPr>
        <w:t>采用混凝土砖与花岗岩相结合</w:t>
      </w:r>
      <w:r>
        <w:rPr>
          <w:rFonts w:hint="eastAsia" w:ascii="仿宋" w:hAnsi="仿宋" w:eastAsia="仿宋" w:cs="仿宋"/>
          <w:color w:val="auto"/>
          <w:sz w:val="32"/>
          <w:szCs w:val="32"/>
          <w:lang w:val="zh-CN"/>
        </w:rPr>
        <w:t>，主要节点有多种铺装图案，样式美观。</w:t>
      </w:r>
    </w:p>
    <w:p>
      <w:pPr>
        <w:keepNext w:val="0"/>
        <w:keepLines w:val="0"/>
        <w:pageBreakBefore w:val="0"/>
        <w:kinsoku/>
        <w:wordWrap/>
        <w:overflowPunct/>
        <w:topLinePunct w:val="0"/>
        <w:autoSpaceDE w:val="0"/>
        <w:autoSpaceDN w:val="0"/>
        <w:bidi w:val="0"/>
        <w:adjustRightInd w:val="0"/>
        <w:snapToGrid w:val="0"/>
        <w:spacing w:line="560" w:lineRule="atLeas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项目物业由天通物业物业管理有限公司进驻管理。小区内设置安保室、物业办公室、水电维修队，对业主提出的问题及时进行处理。小区内安装无死角电子监控设置，并有保安定时进行巡逻，做到人防和技防相结合。</w:t>
      </w:r>
    </w:p>
    <w:p>
      <w:pPr>
        <w:keepNext w:val="0"/>
        <w:keepLines w:val="0"/>
        <w:pageBreakBefore w:val="0"/>
        <w:kinsoku/>
        <w:wordWrap/>
        <w:overflowPunct/>
        <w:topLinePunct w:val="0"/>
        <w:autoSpaceDE w:val="0"/>
        <w:autoSpaceDN w:val="0"/>
        <w:bidi w:val="0"/>
        <w:adjustRightInd w:val="0"/>
        <w:snapToGrid w:val="0"/>
        <w:spacing w:line="56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zh-CN"/>
        </w:rPr>
        <w:t>注：本方案中主要内容发生变更的，我公司将及时报主管部门备案并公示。</w:t>
      </w:r>
    </w:p>
    <w:p>
      <w:pPr>
        <w:keepNext w:val="0"/>
        <w:keepLines w:val="0"/>
        <w:pageBreakBefore w:val="0"/>
        <w:kinsoku/>
        <w:wordWrap/>
        <w:overflowPunct/>
        <w:topLinePunct w:val="0"/>
        <w:bidi w:val="0"/>
        <w:adjustRightInd w:val="0"/>
        <w:snapToGrid w:val="0"/>
        <w:spacing w:line="560" w:lineRule="atLeast"/>
        <w:ind w:firstLine="640" w:firstLineChars="200"/>
        <w:jc w:val="right"/>
        <w:rPr>
          <w:rFonts w:hint="eastAsia" w:ascii="仿宋" w:hAnsi="仿宋" w:eastAsia="仿宋" w:cs="仿宋"/>
          <w:color w:val="auto"/>
          <w:sz w:val="32"/>
          <w:szCs w:val="32"/>
        </w:rPr>
      </w:pPr>
    </w:p>
    <w:p>
      <w:pPr>
        <w:keepNext w:val="0"/>
        <w:keepLines w:val="0"/>
        <w:pageBreakBefore w:val="0"/>
        <w:kinsoku/>
        <w:wordWrap/>
        <w:overflowPunct/>
        <w:topLinePunct w:val="0"/>
        <w:bidi w:val="0"/>
        <w:adjustRightInd w:val="0"/>
        <w:snapToGrid w:val="0"/>
        <w:spacing w:line="560" w:lineRule="atLeast"/>
        <w:ind w:firstLine="640" w:firstLineChars="200"/>
        <w:jc w:val="right"/>
        <w:rPr>
          <w:rFonts w:hint="eastAsia" w:ascii="仿宋" w:hAnsi="仿宋" w:eastAsia="仿宋" w:cs="仿宋"/>
          <w:color w:val="auto"/>
          <w:sz w:val="32"/>
          <w:szCs w:val="32"/>
        </w:rPr>
      </w:pPr>
    </w:p>
    <w:p>
      <w:pPr>
        <w:keepNext w:val="0"/>
        <w:keepLines w:val="0"/>
        <w:pageBreakBefore w:val="0"/>
        <w:kinsoku/>
        <w:wordWrap/>
        <w:overflowPunct/>
        <w:topLinePunct w:val="0"/>
        <w:bidi w:val="0"/>
        <w:adjustRightInd w:val="0"/>
        <w:snapToGrid w:val="0"/>
        <w:spacing w:line="560" w:lineRule="atLeast"/>
        <w:ind w:firstLine="640" w:firstLineChars="200"/>
        <w:jc w:val="right"/>
        <w:rPr>
          <w:rFonts w:hint="eastAsia" w:ascii="仿宋" w:hAnsi="仿宋" w:eastAsia="仿宋" w:cs="仿宋"/>
          <w:color w:val="auto"/>
          <w:lang w:eastAsia="zh-CN"/>
        </w:rPr>
      </w:pPr>
      <w:r>
        <w:rPr>
          <w:rFonts w:hint="eastAsia" w:ascii="仿宋" w:hAnsi="仿宋" w:eastAsia="仿宋" w:cs="仿宋"/>
          <w:color w:val="auto"/>
          <w:sz w:val="32"/>
          <w:szCs w:val="32"/>
          <w:lang w:eastAsia="zh-CN"/>
        </w:rPr>
        <w:t>赤峰天通房地产开发有限公司</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w:t>
    </w:r>
    <w: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ZGI3ODFlZGQwM2NmMWJiNGI4ZGNlYWY0MGJjNWYifQ=="/>
  </w:docVars>
  <w:rsids>
    <w:rsidRoot w:val="00172A27"/>
    <w:rsid w:val="00006536"/>
    <w:rsid w:val="000166F3"/>
    <w:rsid w:val="0004210D"/>
    <w:rsid w:val="00054484"/>
    <w:rsid w:val="00063039"/>
    <w:rsid w:val="00066BD7"/>
    <w:rsid w:val="000844F1"/>
    <w:rsid w:val="00085767"/>
    <w:rsid w:val="00096CDB"/>
    <w:rsid w:val="000B54F4"/>
    <w:rsid w:val="000D79A6"/>
    <w:rsid w:val="000E23E0"/>
    <w:rsid w:val="001045EB"/>
    <w:rsid w:val="00113A1C"/>
    <w:rsid w:val="00123D3A"/>
    <w:rsid w:val="0012524C"/>
    <w:rsid w:val="001266BB"/>
    <w:rsid w:val="00130724"/>
    <w:rsid w:val="0013381E"/>
    <w:rsid w:val="00136FD4"/>
    <w:rsid w:val="001370D3"/>
    <w:rsid w:val="001477E7"/>
    <w:rsid w:val="001624AA"/>
    <w:rsid w:val="00166629"/>
    <w:rsid w:val="00166DC4"/>
    <w:rsid w:val="00170843"/>
    <w:rsid w:val="00182206"/>
    <w:rsid w:val="00192B18"/>
    <w:rsid w:val="001C232F"/>
    <w:rsid w:val="001E213E"/>
    <w:rsid w:val="00235E46"/>
    <w:rsid w:val="002461D2"/>
    <w:rsid w:val="00280416"/>
    <w:rsid w:val="002861CB"/>
    <w:rsid w:val="00292E45"/>
    <w:rsid w:val="002A5523"/>
    <w:rsid w:val="002B0DCC"/>
    <w:rsid w:val="002B2857"/>
    <w:rsid w:val="002C3CE0"/>
    <w:rsid w:val="00301F65"/>
    <w:rsid w:val="00313DB6"/>
    <w:rsid w:val="00317AD5"/>
    <w:rsid w:val="00345117"/>
    <w:rsid w:val="003505FC"/>
    <w:rsid w:val="00361331"/>
    <w:rsid w:val="003631BF"/>
    <w:rsid w:val="00364A49"/>
    <w:rsid w:val="0038132A"/>
    <w:rsid w:val="00381482"/>
    <w:rsid w:val="00381C69"/>
    <w:rsid w:val="00393CA6"/>
    <w:rsid w:val="003A4410"/>
    <w:rsid w:val="003A5C28"/>
    <w:rsid w:val="003C5711"/>
    <w:rsid w:val="003E3E61"/>
    <w:rsid w:val="00406F83"/>
    <w:rsid w:val="004213D7"/>
    <w:rsid w:val="00442DB9"/>
    <w:rsid w:val="00453BBA"/>
    <w:rsid w:val="004541AA"/>
    <w:rsid w:val="004546B8"/>
    <w:rsid w:val="004620D6"/>
    <w:rsid w:val="00471A9D"/>
    <w:rsid w:val="00477B1D"/>
    <w:rsid w:val="004C1D87"/>
    <w:rsid w:val="00511FF4"/>
    <w:rsid w:val="00513445"/>
    <w:rsid w:val="00523E0A"/>
    <w:rsid w:val="00531FDE"/>
    <w:rsid w:val="005453D9"/>
    <w:rsid w:val="00575668"/>
    <w:rsid w:val="00582A95"/>
    <w:rsid w:val="005B5F05"/>
    <w:rsid w:val="005D03C7"/>
    <w:rsid w:val="005F5900"/>
    <w:rsid w:val="0060657C"/>
    <w:rsid w:val="006153FE"/>
    <w:rsid w:val="00620941"/>
    <w:rsid w:val="006352CD"/>
    <w:rsid w:val="0064104A"/>
    <w:rsid w:val="006416A7"/>
    <w:rsid w:val="006559DA"/>
    <w:rsid w:val="0066425B"/>
    <w:rsid w:val="006649B7"/>
    <w:rsid w:val="0066515B"/>
    <w:rsid w:val="00692372"/>
    <w:rsid w:val="00694823"/>
    <w:rsid w:val="00695158"/>
    <w:rsid w:val="00695CA4"/>
    <w:rsid w:val="00696126"/>
    <w:rsid w:val="006B36F8"/>
    <w:rsid w:val="006E3270"/>
    <w:rsid w:val="006E5A3D"/>
    <w:rsid w:val="006E64EC"/>
    <w:rsid w:val="00717820"/>
    <w:rsid w:val="007364F1"/>
    <w:rsid w:val="00750D61"/>
    <w:rsid w:val="007739A5"/>
    <w:rsid w:val="007927AB"/>
    <w:rsid w:val="00793462"/>
    <w:rsid w:val="007A036B"/>
    <w:rsid w:val="007D4272"/>
    <w:rsid w:val="007D48F8"/>
    <w:rsid w:val="007E5FAB"/>
    <w:rsid w:val="007F4E1F"/>
    <w:rsid w:val="00812615"/>
    <w:rsid w:val="00825A3B"/>
    <w:rsid w:val="008403D6"/>
    <w:rsid w:val="00850592"/>
    <w:rsid w:val="008546A6"/>
    <w:rsid w:val="00866C2C"/>
    <w:rsid w:val="00873D4F"/>
    <w:rsid w:val="00880F07"/>
    <w:rsid w:val="00885418"/>
    <w:rsid w:val="00890050"/>
    <w:rsid w:val="008C375A"/>
    <w:rsid w:val="008E2A65"/>
    <w:rsid w:val="008E4619"/>
    <w:rsid w:val="008F01EE"/>
    <w:rsid w:val="008F2082"/>
    <w:rsid w:val="009339C6"/>
    <w:rsid w:val="00942D71"/>
    <w:rsid w:val="0094578F"/>
    <w:rsid w:val="00950459"/>
    <w:rsid w:val="009578D9"/>
    <w:rsid w:val="00976B5E"/>
    <w:rsid w:val="00982F79"/>
    <w:rsid w:val="009860B1"/>
    <w:rsid w:val="009B227C"/>
    <w:rsid w:val="009B29CC"/>
    <w:rsid w:val="009C6A61"/>
    <w:rsid w:val="009D463E"/>
    <w:rsid w:val="009E6921"/>
    <w:rsid w:val="009F43F7"/>
    <w:rsid w:val="009F55C9"/>
    <w:rsid w:val="00A017F7"/>
    <w:rsid w:val="00A12826"/>
    <w:rsid w:val="00A431FB"/>
    <w:rsid w:val="00A5040D"/>
    <w:rsid w:val="00A52C9F"/>
    <w:rsid w:val="00A72FFC"/>
    <w:rsid w:val="00A850A6"/>
    <w:rsid w:val="00A86452"/>
    <w:rsid w:val="00A90CC3"/>
    <w:rsid w:val="00A9390A"/>
    <w:rsid w:val="00A93EF7"/>
    <w:rsid w:val="00AA5248"/>
    <w:rsid w:val="00AB15C1"/>
    <w:rsid w:val="00AC26E6"/>
    <w:rsid w:val="00AC5783"/>
    <w:rsid w:val="00AC5E45"/>
    <w:rsid w:val="00AF259E"/>
    <w:rsid w:val="00AF6DE8"/>
    <w:rsid w:val="00B24D17"/>
    <w:rsid w:val="00B26EDB"/>
    <w:rsid w:val="00B360F6"/>
    <w:rsid w:val="00B47985"/>
    <w:rsid w:val="00B5042F"/>
    <w:rsid w:val="00B56679"/>
    <w:rsid w:val="00B7368C"/>
    <w:rsid w:val="00B7747D"/>
    <w:rsid w:val="00B977F9"/>
    <w:rsid w:val="00BA0DA9"/>
    <w:rsid w:val="00BB4B2F"/>
    <w:rsid w:val="00BD1C52"/>
    <w:rsid w:val="00BE012B"/>
    <w:rsid w:val="00BF00D0"/>
    <w:rsid w:val="00BF7014"/>
    <w:rsid w:val="00C23C84"/>
    <w:rsid w:val="00C272B3"/>
    <w:rsid w:val="00C36572"/>
    <w:rsid w:val="00C76CC5"/>
    <w:rsid w:val="00C8036C"/>
    <w:rsid w:val="00CE02DB"/>
    <w:rsid w:val="00CE108F"/>
    <w:rsid w:val="00CE10FA"/>
    <w:rsid w:val="00CE5AE8"/>
    <w:rsid w:val="00CE705E"/>
    <w:rsid w:val="00CF695D"/>
    <w:rsid w:val="00D1615E"/>
    <w:rsid w:val="00D301C3"/>
    <w:rsid w:val="00D3321B"/>
    <w:rsid w:val="00D36CCB"/>
    <w:rsid w:val="00D5667C"/>
    <w:rsid w:val="00D935FB"/>
    <w:rsid w:val="00D97EDE"/>
    <w:rsid w:val="00DB5972"/>
    <w:rsid w:val="00DC30C8"/>
    <w:rsid w:val="00DD4ABF"/>
    <w:rsid w:val="00E02270"/>
    <w:rsid w:val="00E067FB"/>
    <w:rsid w:val="00E10B66"/>
    <w:rsid w:val="00E1670A"/>
    <w:rsid w:val="00E220FA"/>
    <w:rsid w:val="00E36EAB"/>
    <w:rsid w:val="00E435F0"/>
    <w:rsid w:val="00E4445F"/>
    <w:rsid w:val="00E6512F"/>
    <w:rsid w:val="00E655A1"/>
    <w:rsid w:val="00E92EF5"/>
    <w:rsid w:val="00EA4CE5"/>
    <w:rsid w:val="00EA674C"/>
    <w:rsid w:val="00EB2D3F"/>
    <w:rsid w:val="00EE06CB"/>
    <w:rsid w:val="00EF7BE5"/>
    <w:rsid w:val="00F1123E"/>
    <w:rsid w:val="00F143B0"/>
    <w:rsid w:val="00F47357"/>
    <w:rsid w:val="00F70379"/>
    <w:rsid w:val="00F70DE3"/>
    <w:rsid w:val="00F71BB9"/>
    <w:rsid w:val="00F72653"/>
    <w:rsid w:val="00F87AF1"/>
    <w:rsid w:val="00F9204F"/>
    <w:rsid w:val="00FB26D7"/>
    <w:rsid w:val="00FB4D07"/>
    <w:rsid w:val="00FD5538"/>
    <w:rsid w:val="00FE1249"/>
    <w:rsid w:val="00FE7D1F"/>
    <w:rsid w:val="04022013"/>
    <w:rsid w:val="07524B3F"/>
    <w:rsid w:val="095F5326"/>
    <w:rsid w:val="11755469"/>
    <w:rsid w:val="18D26F6C"/>
    <w:rsid w:val="194D7E86"/>
    <w:rsid w:val="1F7109C8"/>
    <w:rsid w:val="294F7C32"/>
    <w:rsid w:val="2E1B28F6"/>
    <w:rsid w:val="3021200E"/>
    <w:rsid w:val="35294F02"/>
    <w:rsid w:val="352C4139"/>
    <w:rsid w:val="36132823"/>
    <w:rsid w:val="36B043CA"/>
    <w:rsid w:val="3D9A5CBB"/>
    <w:rsid w:val="48272AF9"/>
    <w:rsid w:val="494032DE"/>
    <w:rsid w:val="52726A0A"/>
    <w:rsid w:val="545D5E36"/>
    <w:rsid w:val="55197386"/>
    <w:rsid w:val="57B41E3D"/>
    <w:rsid w:val="5C5278E9"/>
    <w:rsid w:val="61AF156A"/>
    <w:rsid w:val="61CE5F83"/>
    <w:rsid w:val="655728C1"/>
    <w:rsid w:val="70B22FA9"/>
    <w:rsid w:val="72220F73"/>
    <w:rsid w:val="762E592C"/>
    <w:rsid w:val="79A27D59"/>
    <w:rsid w:val="79D403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character" w:styleId="10">
    <w:name w:val="FollowedHyperlink"/>
    <w:basedOn w:val="9"/>
    <w:semiHidden/>
    <w:unhideWhenUsed/>
    <w:qFormat/>
    <w:locked/>
    <w:uiPriority w:val="99"/>
    <w:rPr>
      <w:color w:val="800080"/>
      <w:u w:val="single"/>
    </w:rPr>
  </w:style>
  <w:style w:type="character" w:styleId="11">
    <w:name w:val="Hyperlink"/>
    <w:basedOn w:val="9"/>
    <w:semiHidden/>
    <w:unhideWhenUsed/>
    <w:qFormat/>
    <w:locked/>
    <w:uiPriority w:val="99"/>
    <w:rPr>
      <w:color w:val="0000FF"/>
      <w:u w:val="single"/>
    </w:rPr>
  </w:style>
  <w:style w:type="character" w:styleId="12">
    <w:name w:val="annotation reference"/>
    <w:basedOn w:val="9"/>
    <w:semiHidden/>
    <w:qFormat/>
    <w:uiPriority w:val="99"/>
    <w:rPr>
      <w:sz w:val="21"/>
      <w:szCs w:val="21"/>
    </w:rPr>
  </w:style>
  <w:style w:type="character" w:customStyle="1" w:styleId="13">
    <w:name w:val="页脚 Char"/>
    <w:basedOn w:val="9"/>
    <w:link w:val="4"/>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批注文字 Char"/>
    <w:basedOn w:val="9"/>
    <w:link w:val="2"/>
    <w:semiHidden/>
    <w:qFormat/>
    <w:locked/>
    <w:uiPriority w:val="99"/>
    <w:rPr>
      <w:rFonts w:ascii="Calibri" w:hAnsi="Calibri" w:cs="Calibri"/>
      <w:sz w:val="21"/>
      <w:szCs w:val="21"/>
    </w:rPr>
  </w:style>
  <w:style w:type="character" w:customStyle="1" w:styleId="17">
    <w:name w:val="批注主题 Char"/>
    <w:basedOn w:val="16"/>
    <w:link w:val="7"/>
    <w:semiHidden/>
    <w:qFormat/>
    <w:locked/>
    <w:uiPriority w:val="99"/>
    <w:rPr>
      <w:b/>
      <w:bCs/>
    </w:rPr>
  </w:style>
  <w:style w:type="character" w:customStyle="1" w:styleId="18">
    <w:name w:val="批注框文本 Char"/>
    <w:basedOn w:val="9"/>
    <w:link w:val="3"/>
    <w:semiHidden/>
    <w:qFormat/>
    <w:locked/>
    <w:uiPriority w:val="99"/>
    <w:rPr>
      <w:rFonts w:ascii="Calibri" w:hAnsi="Calibri" w:cs="Calibri"/>
      <w:sz w:val="2"/>
      <w:szCs w:val="2"/>
    </w:rPr>
  </w:style>
  <w:style w:type="paragraph" w:customStyle="1" w:styleId="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0"/>
      <w:szCs w:val="20"/>
    </w:rPr>
  </w:style>
  <w:style w:type="paragraph" w:customStyle="1" w:styleId="23">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FF"/>
      <w:kern w:val="0"/>
      <w:sz w:val="20"/>
      <w:szCs w:val="20"/>
    </w:rPr>
  </w:style>
  <w:style w:type="paragraph" w:customStyle="1" w:styleId="24">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25">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0"/>
      <w:szCs w:val="20"/>
    </w:rPr>
  </w:style>
  <w:style w:type="paragraph" w:customStyle="1" w:styleId="2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FF"/>
      <w:kern w:val="0"/>
      <w:sz w:val="20"/>
      <w:szCs w:val="20"/>
    </w:rPr>
  </w:style>
  <w:style w:type="paragraph" w:customStyle="1" w:styleId="27">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2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10A29-0BC3-4129-865F-FC21D13B14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5638</Words>
  <Characters>8129</Characters>
  <Lines>74</Lines>
  <Paragraphs>20</Paragraphs>
  <TotalTime>3</TotalTime>
  <ScaleCrop>false</ScaleCrop>
  <LinksUpToDate>false</LinksUpToDate>
  <CharactersWithSpaces>8452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2017-11-27T01:23:00Z</dcterms:created>
  <dc:creator>Lenovo</dc:creator>
  <cp:lastModifiedBy>Administrator</cp:lastModifiedBy>
  <cp:lastPrinted>2023-08-01T10:59:00Z</cp:lastPrinted>
  <dcterms:modified xsi:type="dcterms:W3CDTF">2023-08-08T02:10:53Z</dcterms:modified>
  <dc:title>商 品 房 预 售 方 案</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F1900A2C20FB445A9C79BAA49FE4784E_12</vt:lpwstr>
  </property>
</Properties>
</file>